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B8D20" w14:textId="77777777" w:rsidR="000775A8" w:rsidRPr="000722AE" w:rsidRDefault="000775A8" w:rsidP="000775A8">
      <w:pPr>
        <w:rPr>
          <w:b/>
          <w:bCs/>
        </w:rPr>
      </w:pPr>
      <w:r w:rsidRPr="000722AE">
        <w:rPr>
          <w:rStyle w:val="Enfasigrassetto"/>
          <w:rFonts w:ascii="Calibri" w:hAnsi="Calibri" w:cs="Calibri"/>
          <w:sz w:val="20"/>
          <w:szCs w:val="20"/>
          <w:u w:val="single"/>
        </w:rPr>
        <w:t>Neuropatia Cronica Infiammatoria Demielinizzante (CIDP)</w:t>
      </w:r>
    </w:p>
    <w:p w14:paraId="3D71CEA8" w14:textId="77777777" w:rsidR="000775A8" w:rsidRPr="00622495" w:rsidRDefault="000775A8" w:rsidP="000775A8">
      <w:pPr>
        <w:pStyle w:val="NormaleWeb"/>
        <w:spacing w:line="276" w:lineRule="auto"/>
        <w:rPr>
          <w:rFonts w:ascii="Calibri" w:hAnsi="Calibri" w:cs="Calibri"/>
          <w:sz w:val="20"/>
          <w:szCs w:val="20"/>
          <w:lang w:val="it-IT"/>
        </w:rPr>
      </w:pPr>
      <w:r w:rsidRPr="00622495">
        <w:rPr>
          <w:rFonts w:ascii="Calibri" w:hAnsi="Calibri" w:cs="Calibri"/>
          <w:sz w:val="20"/>
          <w:szCs w:val="20"/>
          <w:lang w:val="it-IT"/>
        </w:rPr>
        <w:t xml:space="preserve">La </w:t>
      </w:r>
      <w:r w:rsidRPr="00622495">
        <w:rPr>
          <w:rStyle w:val="Enfasigrassetto"/>
          <w:rFonts w:ascii="Calibri" w:hAnsi="Calibri" w:cs="Calibri"/>
          <w:sz w:val="20"/>
          <w:szCs w:val="20"/>
          <w:lang w:val="it-IT"/>
        </w:rPr>
        <w:t>CIDP (</w:t>
      </w:r>
      <w:proofErr w:type="spellStart"/>
      <w:r w:rsidRPr="00622495">
        <w:rPr>
          <w:rStyle w:val="Enfasigrassetto"/>
          <w:rFonts w:ascii="Calibri" w:hAnsi="Calibri" w:cs="Calibri"/>
          <w:sz w:val="20"/>
          <w:szCs w:val="20"/>
          <w:lang w:val="it-IT"/>
        </w:rPr>
        <w:t>Chronic</w:t>
      </w:r>
      <w:proofErr w:type="spellEnd"/>
      <w:r w:rsidRPr="00622495">
        <w:rPr>
          <w:rStyle w:val="Enfasigrassetto"/>
          <w:rFonts w:ascii="Calibri" w:hAnsi="Calibri" w:cs="Calibri"/>
          <w:sz w:val="20"/>
          <w:szCs w:val="20"/>
          <w:lang w:val="it-IT"/>
        </w:rPr>
        <w:t xml:space="preserve"> </w:t>
      </w:r>
      <w:proofErr w:type="spellStart"/>
      <w:r w:rsidRPr="00622495">
        <w:rPr>
          <w:rStyle w:val="Enfasigrassetto"/>
          <w:rFonts w:ascii="Calibri" w:hAnsi="Calibri" w:cs="Calibri"/>
          <w:sz w:val="20"/>
          <w:szCs w:val="20"/>
          <w:lang w:val="it-IT"/>
        </w:rPr>
        <w:t>Inflammatory</w:t>
      </w:r>
      <w:proofErr w:type="spellEnd"/>
      <w:r w:rsidRPr="00622495">
        <w:rPr>
          <w:rStyle w:val="Enfasigrassetto"/>
          <w:rFonts w:ascii="Calibri" w:hAnsi="Calibri" w:cs="Calibri"/>
          <w:sz w:val="20"/>
          <w:szCs w:val="20"/>
          <w:lang w:val="it-IT"/>
        </w:rPr>
        <w:t xml:space="preserve"> </w:t>
      </w:r>
      <w:proofErr w:type="spellStart"/>
      <w:r w:rsidRPr="00622495">
        <w:rPr>
          <w:rStyle w:val="Enfasigrassetto"/>
          <w:rFonts w:ascii="Calibri" w:hAnsi="Calibri" w:cs="Calibri"/>
          <w:sz w:val="20"/>
          <w:szCs w:val="20"/>
          <w:lang w:val="it-IT"/>
        </w:rPr>
        <w:t>Demyelinating</w:t>
      </w:r>
      <w:proofErr w:type="spellEnd"/>
      <w:r w:rsidRPr="00622495">
        <w:rPr>
          <w:rStyle w:val="Enfasigrassetto"/>
          <w:rFonts w:ascii="Calibri" w:hAnsi="Calibri" w:cs="Calibri"/>
          <w:sz w:val="20"/>
          <w:szCs w:val="20"/>
          <w:lang w:val="it-IT"/>
        </w:rPr>
        <w:t xml:space="preserve"> </w:t>
      </w:r>
      <w:proofErr w:type="spellStart"/>
      <w:r w:rsidRPr="00622495">
        <w:rPr>
          <w:rStyle w:val="Enfasigrassetto"/>
          <w:rFonts w:ascii="Calibri" w:hAnsi="Calibri" w:cs="Calibri"/>
          <w:sz w:val="20"/>
          <w:szCs w:val="20"/>
          <w:lang w:val="it-IT"/>
        </w:rPr>
        <w:t>Polyneuropathy</w:t>
      </w:r>
      <w:proofErr w:type="spellEnd"/>
      <w:r w:rsidRPr="00622495">
        <w:rPr>
          <w:rStyle w:val="Enfasigrassetto"/>
          <w:rFonts w:ascii="Calibri" w:hAnsi="Calibri" w:cs="Calibri"/>
          <w:sz w:val="20"/>
          <w:szCs w:val="20"/>
          <w:lang w:val="it-IT"/>
        </w:rPr>
        <w:t>)</w:t>
      </w:r>
      <w:r w:rsidRPr="00622495">
        <w:rPr>
          <w:rFonts w:ascii="Calibri" w:hAnsi="Calibri" w:cs="Calibri"/>
          <w:sz w:val="20"/>
          <w:szCs w:val="20"/>
          <w:lang w:val="it-IT"/>
        </w:rPr>
        <w:t xml:space="preserve"> è una neuropatia autoimmune caratterizzata da un attacco del sistema immunitario alla mielina dei nervi periferici, determinando un progressivo deterioramento della conduzione nervosa e una compromissione della funzionalità motoria e sensitiva.</w:t>
      </w:r>
    </w:p>
    <w:p w14:paraId="5211C830" w14:textId="77777777" w:rsidR="000775A8" w:rsidRPr="000722AE" w:rsidRDefault="000775A8" w:rsidP="000775A8">
      <w:r w:rsidRPr="000722AE">
        <w:rPr>
          <w:rStyle w:val="Enfasigrassetto"/>
          <w:rFonts w:ascii="Calibri" w:hAnsi="Calibri" w:cs="Calibri"/>
          <w:sz w:val="20"/>
          <w:szCs w:val="20"/>
        </w:rPr>
        <w:t>Sintomi</w:t>
      </w:r>
    </w:p>
    <w:p w14:paraId="0F39CC61" w14:textId="77777777" w:rsidR="000775A8" w:rsidRPr="00622495" w:rsidRDefault="000775A8" w:rsidP="000775A8">
      <w:pPr>
        <w:pStyle w:val="NormaleWeb"/>
        <w:spacing w:line="276" w:lineRule="auto"/>
        <w:rPr>
          <w:rFonts w:ascii="Calibri" w:hAnsi="Calibri" w:cs="Calibri"/>
          <w:sz w:val="20"/>
          <w:szCs w:val="20"/>
          <w:lang w:val="it-IT"/>
        </w:rPr>
      </w:pPr>
      <w:r w:rsidRPr="00622495">
        <w:rPr>
          <w:rFonts w:ascii="Calibri" w:hAnsi="Calibri" w:cs="Calibri"/>
          <w:sz w:val="20"/>
          <w:szCs w:val="20"/>
          <w:lang w:val="it-IT"/>
        </w:rPr>
        <w:t xml:space="preserve">I pazienti affetti da CIDP presentano una </w:t>
      </w:r>
      <w:r w:rsidRPr="00622495">
        <w:rPr>
          <w:rStyle w:val="Enfasigrassetto"/>
          <w:rFonts w:ascii="Calibri" w:hAnsi="Calibri" w:cs="Calibri"/>
          <w:sz w:val="20"/>
          <w:szCs w:val="20"/>
          <w:lang w:val="it-IT"/>
        </w:rPr>
        <w:t>debolezza muscolare progressiva</w:t>
      </w:r>
      <w:r w:rsidRPr="00622495">
        <w:rPr>
          <w:rFonts w:ascii="Calibri" w:hAnsi="Calibri" w:cs="Calibri"/>
          <w:sz w:val="20"/>
          <w:szCs w:val="20"/>
          <w:lang w:val="it-IT"/>
        </w:rPr>
        <w:t xml:space="preserve"> che colpisce sia gli arti superiori che inferiori, spesso con distribuzione prossimale e simmetrica. Si osservano inoltre </w:t>
      </w:r>
      <w:r w:rsidRPr="00622495">
        <w:rPr>
          <w:rStyle w:val="Enfasigrassetto"/>
          <w:rFonts w:ascii="Calibri" w:hAnsi="Calibri" w:cs="Calibri"/>
          <w:sz w:val="20"/>
          <w:szCs w:val="20"/>
          <w:lang w:val="it-IT"/>
        </w:rPr>
        <w:t xml:space="preserve">parestesie, ipoestesia e perdita dei riflessi </w:t>
      </w:r>
      <w:proofErr w:type="spellStart"/>
      <w:r w:rsidRPr="00622495">
        <w:rPr>
          <w:rStyle w:val="Enfasigrassetto"/>
          <w:rFonts w:ascii="Calibri" w:hAnsi="Calibri" w:cs="Calibri"/>
          <w:sz w:val="20"/>
          <w:szCs w:val="20"/>
          <w:lang w:val="it-IT"/>
        </w:rPr>
        <w:t>osteotendinei</w:t>
      </w:r>
      <w:proofErr w:type="spellEnd"/>
      <w:r w:rsidRPr="00622495">
        <w:rPr>
          <w:rStyle w:val="Enfasigrassetto"/>
          <w:rFonts w:ascii="Calibri" w:hAnsi="Calibri" w:cs="Calibri"/>
          <w:sz w:val="20"/>
          <w:szCs w:val="20"/>
          <w:lang w:val="it-IT"/>
        </w:rPr>
        <w:t xml:space="preserve"> profondi</w:t>
      </w:r>
      <w:r w:rsidRPr="00622495">
        <w:rPr>
          <w:rFonts w:ascii="Calibri" w:hAnsi="Calibri" w:cs="Calibri"/>
          <w:sz w:val="20"/>
          <w:szCs w:val="20"/>
          <w:lang w:val="it-IT"/>
        </w:rPr>
        <w:t xml:space="preserve">. Nei casi più avanzati, la difficoltà nella deambulazione può richiedere l’uso di supporti </w:t>
      </w:r>
      <w:proofErr w:type="spellStart"/>
      <w:r w:rsidRPr="00622495">
        <w:rPr>
          <w:rFonts w:ascii="Calibri" w:hAnsi="Calibri" w:cs="Calibri"/>
          <w:sz w:val="20"/>
          <w:szCs w:val="20"/>
          <w:lang w:val="it-IT"/>
        </w:rPr>
        <w:t>ortesici</w:t>
      </w:r>
      <w:proofErr w:type="spellEnd"/>
      <w:r w:rsidRPr="00622495">
        <w:rPr>
          <w:rFonts w:ascii="Calibri" w:hAnsi="Calibri" w:cs="Calibri"/>
          <w:sz w:val="20"/>
          <w:szCs w:val="20"/>
          <w:lang w:val="it-IT"/>
        </w:rPr>
        <w:t xml:space="preserve"> o ausili per il cammino. Alcuni pazienti riferiscono </w:t>
      </w:r>
      <w:r w:rsidRPr="00622495">
        <w:rPr>
          <w:rStyle w:val="Enfasigrassetto"/>
          <w:rFonts w:ascii="Calibri" w:hAnsi="Calibri" w:cs="Calibri"/>
          <w:sz w:val="20"/>
          <w:szCs w:val="20"/>
          <w:lang w:val="it-IT"/>
        </w:rPr>
        <w:t>dolore neuropatico e affaticamento cronico</w:t>
      </w:r>
      <w:r w:rsidRPr="00622495">
        <w:rPr>
          <w:rFonts w:ascii="Calibri" w:hAnsi="Calibri" w:cs="Calibri"/>
          <w:sz w:val="20"/>
          <w:szCs w:val="20"/>
          <w:lang w:val="it-IT"/>
        </w:rPr>
        <w:t>, con un impatto significativo sulla qualità di vita.</w:t>
      </w:r>
    </w:p>
    <w:p w14:paraId="37627124" w14:textId="77777777" w:rsidR="000775A8" w:rsidRPr="000722AE" w:rsidRDefault="000775A8" w:rsidP="000775A8">
      <w:r w:rsidRPr="000722AE">
        <w:rPr>
          <w:rStyle w:val="Enfasigrassetto"/>
          <w:rFonts w:ascii="Calibri" w:hAnsi="Calibri" w:cs="Calibri"/>
          <w:sz w:val="20"/>
          <w:szCs w:val="20"/>
        </w:rPr>
        <w:t>Diagnosi</w:t>
      </w:r>
    </w:p>
    <w:p w14:paraId="569B4BFE" w14:textId="77777777" w:rsidR="000775A8" w:rsidRPr="00622495" w:rsidRDefault="000775A8" w:rsidP="000775A8">
      <w:pPr>
        <w:pStyle w:val="NormaleWeb"/>
        <w:spacing w:line="276" w:lineRule="auto"/>
        <w:rPr>
          <w:rFonts w:ascii="Calibri" w:hAnsi="Calibri" w:cs="Calibri"/>
          <w:sz w:val="20"/>
          <w:szCs w:val="20"/>
          <w:lang w:val="it-IT"/>
        </w:rPr>
      </w:pPr>
      <w:r w:rsidRPr="00622495">
        <w:rPr>
          <w:rFonts w:ascii="Calibri" w:hAnsi="Calibri" w:cs="Calibri"/>
          <w:sz w:val="20"/>
          <w:szCs w:val="20"/>
          <w:lang w:val="it-IT"/>
        </w:rPr>
        <w:t>La diagnosi della CIDP si basa su criteri clinici e strumentali. L’</w:t>
      </w:r>
      <w:r w:rsidRPr="00622495">
        <w:rPr>
          <w:rStyle w:val="Enfasigrassetto"/>
          <w:rFonts w:ascii="Calibri" w:hAnsi="Calibri" w:cs="Calibri"/>
          <w:sz w:val="20"/>
          <w:szCs w:val="20"/>
          <w:lang w:val="it-IT"/>
        </w:rPr>
        <w:t>elettromiografia con studi di conduzione nervosa (ENG/EMG)</w:t>
      </w:r>
      <w:r w:rsidRPr="00622495">
        <w:rPr>
          <w:rFonts w:ascii="Calibri" w:hAnsi="Calibri" w:cs="Calibri"/>
          <w:sz w:val="20"/>
          <w:szCs w:val="20"/>
          <w:lang w:val="it-IT"/>
        </w:rPr>
        <w:t xml:space="preserve"> evidenzia segni di demielinizzazione, con rallentamento della velocità di conduzione e blocchi di conduzione. L’</w:t>
      </w:r>
      <w:r w:rsidRPr="00622495">
        <w:rPr>
          <w:rStyle w:val="Enfasigrassetto"/>
          <w:rFonts w:ascii="Calibri" w:hAnsi="Calibri" w:cs="Calibri"/>
          <w:sz w:val="20"/>
          <w:szCs w:val="20"/>
          <w:lang w:val="it-IT"/>
        </w:rPr>
        <w:t>esame del liquido cerebrospinale (rachicentesi)</w:t>
      </w:r>
      <w:r w:rsidRPr="00622495">
        <w:rPr>
          <w:rFonts w:ascii="Calibri" w:hAnsi="Calibri" w:cs="Calibri"/>
          <w:sz w:val="20"/>
          <w:szCs w:val="20"/>
          <w:lang w:val="it-IT"/>
        </w:rPr>
        <w:t xml:space="preserve"> può mostrare </w:t>
      </w:r>
      <w:proofErr w:type="spellStart"/>
      <w:r w:rsidRPr="00622495">
        <w:rPr>
          <w:rFonts w:ascii="Calibri" w:hAnsi="Calibri" w:cs="Calibri"/>
          <w:sz w:val="20"/>
          <w:szCs w:val="20"/>
          <w:lang w:val="it-IT"/>
        </w:rPr>
        <w:t>iperproteinorrachia</w:t>
      </w:r>
      <w:proofErr w:type="spellEnd"/>
      <w:r w:rsidRPr="00622495">
        <w:rPr>
          <w:rFonts w:ascii="Calibri" w:hAnsi="Calibri" w:cs="Calibri"/>
          <w:sz w:val="20"/>
          <w:szCs w:val="20"/>
          <w:lang w:val="it-IT"/>
        </w:rPr>
        <w:t xml:space="preserve"> senza pleiocitosi, un dato tipico delle neuropatie infiammatorie.</w:t>
      </w:r>
    </w:p>
    <w:p w14:paraId="1EBF27EA" w14:textId="77777777" w:rsidR="000775A8" w:rsidRPr="000722AE" w:rsidRDefault="000775A8" w:rsidP="000775A8">
      <w:r w:rsidRPr="000722AE">
        <w:rPr>
          <w:rStyle w:val="Enfasigrassetto"/>
          <w:rFonts w:ascii="Calibri" w:hAnsi="Calibri" w:cs="Calibri"/>
          <w:sz w:val="20"/>
          <w:szCs w:val="20"/>
        </w:rPr>
        <w:t>Trattamento</w:t>
      </w:r>
    </w:p>
    <w:p w14:paraId="266B1147" w14:textId="77777777" w:rsidR="000775A8" w:rsidRPr="00622495" w:rsidRDefault="000775A8" w:rsidP="000775A8">
      <w:pPr>
        <w:pStyle w:val="NormaleWeb"/>
        <w:spacing w:line="276" w:lineRule="auto"/>
        <w:rPr>
          <w:rFonts w:ascii="Calibri" w:hAnsi="Calibri" w:cs="Calibri"/>
          <w:sz w:val="20"/>
          <w:szCs w:val="20"/>
          <w:lang w:val="it-IT"/>
        </w:rPr>
      </w:pPr>
      <w:r w:rsidRPr="00622495">
        <w:rPr>
          <w:rFonts w:ascii="Calibri" w:hAnsi="Calibri" w:cs="Calibri"/>
          <w:sz w:val="20"/>
          <w:szCs w:val="20"/>
          <w:lang w:val="it-IT"/>
        </w:rPr>
        <w:t xml:space="preserve">Il trattamento della CIDP mira a modulare la risposta immunitaria per prevenire la progressione della malattia. Le </w:t>
      </w:r>
      <w:r w:rsidRPr="00622495">
        <w:rPr>
          <w:rStyle w:val="Enfasigrassetto"/>
          <w:rFonts w:ascii="Calibri" w:hAnsi="Calibri" w:cs="Calibri"/>
          <w:sz w:val="20"/>
          <w:szCs w:val="20"/>
          <w:lang w:val="it-IT"/>
        </w:rPr>
        <w:t>immunoglobuline endovena (IVIG)</w:t>
      </w:r>
      <w:r w:rsidRPr="00622495">
        <w:rPr>
          <w:rFonts w:ascii="Calibri" w:hAnsi="Calibri" w:cs="Calibri"/>
          <w:sz w:val="20"/>
          <w:szCs w:val="20"/>
          <w:lang w:val="it-IT"/>
        </w:rPr>
        <w:t xml:space="preserve"> rappresentano la terapia di prima linea e risultano efficaci nella maggior parte dei pazienti. Nei casi in cui la risposta sia insufficiente, si possono impiegare </w:t>
      </w:r>
      <w:r w:rsidRPr="00622495">
        <w:rPr>
          <w:rStyle w:val="Enfasigrassetto"/>
          <w:rFonts w:ascii="Calibri" w:hAnsi="Calibri" w:cs="Calibri"/>
          <w:sz w:val="20"/>
          <w:szCs w:val="20"/>
          <w:lang w:val="it-IT"/>
        </w:rPr>
        <w:t>corticosteroidi e farmaci immunosoppressori</w:t>
      </w:r>
      <w:r w:rsidRPr="00622495">
        <w:rPr>
          <w:rFonts w:ascii="Calibri" w:hAnsi="Calibri" w:cs="Calibri"/>
          <w:sz w:val="20"/>
          <w:szCs w:val="20"/>
          <w:lang w:val="it-IT"/>
        </w:rPr>
        <w:t xml:space="preserve">, tra cui </w:t>
      </w:r>
      <w:proofErr w:type="spellStart"/>
      <w:r w:rsidRPr="00622495">
        <w:rPr>
          <w:rFonts w:ascii="Calibri" w:hAnsi="Calibri" w:cs="Calibri"/>
          <w:sz w:val="20"/>
          <w:szCs w:val="20"/>
          <w:lang w:val="it-IT"/>
        </w:rPr>
        <w:t>azatioprina</w:t>
      </w:r>
      <w:proofErr w:type="spellEnd"/>
      <w:r w:rsidRPr="00622495">
        <w:rPr>
          <w:rFonts w:ascii="Calibri" w:hAnsi="Calibri" w:cs="Calibri"/>
          <w:sz w:val="20"/>
          <w:szCs w:val="20"/>
          <w:lang w:val="it-IT"/>
        </w:rPr>
        <w:t xml:space="preserve"> e </w:t>
      </w:r>
      <w:proofErr w:type="spellStart"/>
      <w:r w:rsidRPr="00622495">
        <w:rPr>
          <w:rFonts w:ascii="Calibri" w:hAnsi="Calibri" w:cs="Calibri"/>
          <w:sz w:val="20"/>
          <w:szCs w:val="20"/>
          <w:lang w:val="it-IT"/>
        </w:rPr>
        <w:t>ciclofosfamide</w:t>
      </w:r>
      <w:proofErr w:type="spellEnd"/>
      <w:r w:rsidRPr="00622495">
        <w:rPr>
          <w:rFonts w:ascii="Calibri" w:hAnsi="Calibri" w:cs="Calibri"/>
          <w:sz w:val="20"/>
          <w:szCs w:val="20"/>
          <w:lang w:val="it-IT"/>
        </w:rPr>
        <w:t xml:space="preserve">. Nei pazienti refrattari alle terapie convenzionali, possono essere utilizzati anticorpi monoclonali come rituximab o, nei casi più severi, la </w:t>
      </w:r>
      <w:r w:rsidRPr="00622495">
        <w:rPr>
          <w:rStyle w:val="Enfasigrassetto"/>
          <w:rFonts w:ascii="Calibri" w:hAnsi="Calibri" w:cs="Calibri"/>
          <w:sz w:val="20"/>
          <w:szCs w:val="20"/>
          <w:lang w:val="it-IT"/>
        </w:rPr>
        <w:t>plasmaferesi</w:t>
      </w:r>
      <w:r w:rsidRPr="00622495">
        <w:rPr>
          <w:rFonts w:ascii="Calibri" w:hAnsi="Calibri" w:cs="Calibri"/>
          <w:sz w:val="20"/>
          <w:szCs w:val="20"/>
          <w:lang w:val="it-IT"/>
        </w:rPr>
        <w:t xml:space="preserve">, che permette di rimuovere gli autoanticorpi responsabili del danno mielinico. Il percorso terapeutico si completa con </w:t>
      </w:r>
      <w:r w:rsidRPr="00622495">
        <w:rPr>
          <w:rStyle w:val="Enfasigrassetto"/>
          <w:rFonts w:ascii="Calibri" w:hAnsi="Calibri" w:cs="Calibri"/>
          <w:sz w:val="20"/>
          <w:szCs w:val="20"/>
          <w:lang w:val="it-IT"/>
        </w:rPr>
        <w:t>fisioterapia e riabilitazione neuromotoria</w:t>
      </w:r>
      <w:r w:rsidRPr="00622495">
        <w:rPr>
          <w:rFonts w:ascii="Calibri" w:hAnsi="Calibri" w:cs="Calibri"/>
          <w:sz w:val="20"/>
          <w:szCs w:val="20"/>
          <w:lang w:val="it-IT"/>
        </w:rPr>
        <w:t>, essenziali per mantenere la funzionalità muscolare e prevenire disabilità a lungo termine.</w:t>
      </w:r>
    </w:p>
    <w:p w14:paraId="74829F64" w14:textId="77777777" w:rsidR="00E13A22" w:rsidRDefault="00E13A22"/>
    <w:sectPr w:rsidR="00E13A22">
      <w:footerReference w:type="even" r:id="rId9"/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C2740" w14:textId="77777777" w:rsidR="00C0414C" w:rsidRDefault="00C0414C" w:rsidP="000775A8">
      <w:pPr>
        <w:spacing w:after="0" w:line="240" w:lineRule="auto"/>
      </w:pPr>
      <w:r>
        <w:separator/>
      </w:r>
    </w:p>
  </w:endnote>
  <w:endnote w:type="continuationSeparator" w:id="0">
    <w:p w14:paraId="1497D639" w14:textId="77777777" w:rsidR="00C0414C" w:rsidRDefault="00C0414C" w:rsidP="0007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F9C5" w14:textId="2BD5B0EC" w:rsidR="000775A8" w:rsidRDefault="000775A8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FF11597" wp14:editId="11B859D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584866812" name="Text Box 2" descr="Classificazione: Controllat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6BA8CE" w14:textId="2837DA27" w:rsidR="000775A8" w:rsidRPr="000775A8" w:rsidRDefault="000775A8" w:rsidP="000775A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775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Classificazione: Controllato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F115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zione: Controllato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676BA8CE" w14:textId="2837DA27" w:rsidR="000775A8" w:rsidRPr="000775A8" w:rsidRDefault="000775A8" w:rsidP="000775A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775A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Classificazione: Controllato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5F431" w14:textId="07AE032E" w:rsidR="000775A8" w:rsidRDefault="000775A8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9BC9DCE" wp14:editId="73490C19">
              <wp:simplePos x="9144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338494424" name="Text Box 3" descr="Classificazione: Controllat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217880" w14:textId="2A187748" w:rsidR="000775A8" w:rsidRPr="000775A8" w:rsidRDefault="000775A8" w:rsidP="000775A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775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Classificazione: Controllato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BC9D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zione: Controllato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07217880" w14:textId="2A187748" w:rsidR="000775A8" w:rsidRPr="000775A8" w:rsidRDefault="000775A8" w:rsidP="000775A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775A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Classificazione: Controllato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E3967" w14:textId="4C548E5F" w:rsidR="000775A8" w:rsidRDefault="000775A8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E6A5C1" wp14:editId="17EF216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62089179" name="Text Box 1" descr="Classificazione: Controllat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475784" w14:textId="0EF531B5" w:rsidR="000775A8" w:rsidRPr="000775A8" w:rsidRDefault="000775A8" w:rsidP="000775A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775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Classificazione: Controllato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E6A5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zione: Controllato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1F475784" w14:textId="0EF531B5" w:rsidR="000775A8" w:rsidRPr="000775A8" w:rsidRDefault="000775A8" w:rsidP="000775A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775A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Classificazione: Controllato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C2836" w14:textId="77777777" w:rsidR="00C0414C" w:rsidRDefault="00C0414C" w:rsidP="000775A8">
      <w:pPr>
        <w:spacing w:after="0" w:line="240" w:lineRule="auto"/>
      </w:pPr>
      <w:r>
        <w:separator/>
      </w:r>
    </w:p>
  </w:footnote>
  <w:footnote w:type="continuationSeparator" w:id="0">
    <w:p w14:paraId="47B31F6A" w14:textId="77777777" w:rsidR="00C0414C" w:rsidRDefault="00C0414C" w:rsidP="000775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A8"/>
    <w:rsid w:val="000775A8"/>
    <w:rsid w:val="00404C14"/>
    <w:rsid w:val="008A3A30"/>
    <w:rsid w:val="00C0414C"/>
    <w:rsid w:val="00E1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B5AF"/>
  <w15:chartTrackingRefBased/>
  <w15:docId w15:val="{A00D2244-731B-4258-96BB-8C467C07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75A8"/>
    <w:pPr>
      <w:spacing w:line="256" w:lineRule="auto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775A8"/>
    <w:rPr>
      <w:b/>
      <w:bCs/>
    </w:rPr>
  </w:style>
  <w:style w:type="paragraph" w:styleId="NormaleWeb">
    <w:name w:val="Normal (Web)"/>
    <w:basedOn w:val="Normale"/>
    <w:uiPriority w:val="99"/>
    <w:unhideWhenUsed/>
    <w:rsid w:val="00077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77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5A8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ote xmlns="ec7da893-9680-4be2-99d1-db3a648ccefd" xsi:nil="true"/>
    <_ip_UnifiedCompliancePolicyProperties xmlns="http://schemas.microsoft.com/sharepoint/v3" xsi:nil="true"/>
    <lcf76f155ced4ddcb4097134ff3c332f xmlns="ec7da893-9680-4be2-99d1-db3a648ccefd">
      <Terms xmlns="http://schemas.microsoft.com/office/infopath/2007/PartnerControls"/>
    </lcf76f155ced4ddcb4097134ff3c332f>
    <TaxCatchAll xmlns="68bc52bf-5b55-4945-9634-4541889a406d" xsi:nil="true"/>
    <_Flow_SignoffStatus xmlns="ec7da893-9680-4be2-99d1-db3a648cce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37029FCAC8C24FA46226F08ABCAE6D" ma:contentTypeVersion="22" ma:contentTypeDescription="Creare un nuovo documento." ma:contentTypeScope="" ma:versionID="d4e5dda5e7a670abe850f38402656e49">
  <xsd:schema xmlns:xsd="http://www.w3.org/2001/XMLSchema" xmlns:xs="http://www.w3.org/2001/XMLSchema" xmlns:p="http://schemas.microsoft.com/office/2006/metadata/properties" xmlns:ns1="http://schemas.microsoft.com/sharepoint/v3" xmlns:ns2="ec7da893-9680-4be2-99d1-db3a648ccefd" xmlns:ns3="68bc52bf-5b55-4945-9634-4541889a406d" targetNamespace="http://schemas.microsoft.com/office/2006/metadata/properties" ma:root="true" ma:fieldsID="2926b280559ccc9c14914033c5a612f8" ns1:_="" ns2:_="" ns3:_="">
    <xsd:import namespace="http://schemas.microsoft.com/sharepoint/v3"/>
    <xsd:import namespace="ec7da893-9680-4be2-99d1-db3a648ccefd"/>
    <xsd:import namespace="68bc52bf-5b55-4945-9634-4541889a4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_Flow_SignoffStatus" minOccurs="0"/>
                <xsd:element ref="ns2: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da893-9680-4be2-99d1-db3a648cc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89cede8a-924a-40ef-b056-3055beb93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Note" ma:index="28" nillable="true" ma:displayName="Note" ma:format="Dropdown" ma:internalName="No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c52bf-5b55-4945-9634-4541889a4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80c14c-5433-4672-ae58-0f471a042038}" ma:internalName="TaxCatchAll" ma:showField="CatchAllData" ma:web="68bc52bf-5b55-4945-9634-4541889a4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047F7C-A4F6-432C-B501-7A9EF4EFC7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c7da893-9680-4be2-99d1-db3a648ccefd"/>
    <ds:schemaRef ds:uri="68bc52bf-5b55-4945-9634-4541889a406d"/>
  </ds:schemaRefs>
</ds:datastoreItem>
</file>

<file path=customXml/itemProps2.xml><?xml version="1.0" encoding="utf-8"?>
<ds:datastoreItem xmlns:ds="http://schemas.openxmlformats.org/officeDocument/2006/customXml" ds:itemID="{B5A71D6F-DE18-4A00-B160-C23A59927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210E4B-1EE5-42B5-A7A4-57006EADA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7da893-9680-4be2-99d1-db3a648ccefd"/>
    <ds:schemaRef ds:uri="68bc52bf-5b55-4945-9634-4541889a4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d61d251-95fb-4d38-9b7a-3813af1387d1}" enabled="1" method="Privileged" siteId="{796c2493-5d84-4e0c-9fa7-c94b2a09cda5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Scansani</dc:creator>
  <cp:keywords/>
  <dc:description/>
  <cp:lastModifiedBy>Elisa Pezzini</cp:lastModifiedBy>
  <cp:revision>2</cp:revision>
  <dcterms:created xsi:type="dcterms:W3CDTF">2025-04-14T21:27:00Z</dcterms:created>
  <dcterms:modified xsi:type="dcterms:W3CDTF">2025-06-20T08:39:00Z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9a948db,5e7725fc,142d03d8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Classificazione: Controllato</vt:lpwstr>
  </property>
  <property fmtid="{D5CDD505-2E9C-101B-9397-08002B2CF9AE}" pid="5" name="ContentTypeId">
    <vt:lpwstr>0x0101000937029FCAC8C24FA46226F08ABCAE6D</vt:lpwstr>
  </property>
</Properties>
</file>