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0A400" w14:textId="472844CC" w:rsidR="005620BD" w:rsidRDefault="005620BD" w:rsidP="005620BD">
      <w:pPr>
        <w:rPr>
          <w:rFonts w:ascii="Helvetica" w:hAnsi="Helvetica"/>
          <w:b/>
          <w:bCs/>
          <w:sz w:val="20"/>
          <w:szCs w:val="20"/>
        </w:rPr>
      </w:pPr>
      <w:r w:rsidRPr="00AF54AD">
        <w:rPr>
          <w:rFonts w:ascii="Helvetica" w:hAnsi="Helvetica"/>
          <w:b/>
          <w:bCs/>
          <w:sz w:val="20"/>
          <w:szCs w:val="20"/>
        </w:rPr>
        <w:t xml:space="preserve">Come prepararsi per la </w:t>
      </w:r>
      <w:r w:rsidR="00AF54AD">
        <w:rPr>
          <w:rFonts w:ascii="Helvetica" w:hAnsi="Helvetica"/>
          <w:b/>
          <w:bCs/>
          <w:sz w:val="20"/>
          <w:szCs w:val="20"/>
        </w:rPr>
        <w:t>GASTROSCOPIA (EGDS)</w:t>
      </w:r>
      <w:r w:rsidRPr="00AF54AD">
        <w:rPr>
          <w:rFonts w:ascii="Helvetica" w:hAnsi="Helvetica"/>
          <w:b/>
          <w:bCs/>
          <w:sz w:val="20"/>
          <w:szCs w:val="20"/>
        </w:rPr>
        <w:t>?</w:t>
      </w:r>
    </w:p>
    <w:p w14:paraId="759440D3" w14:textId="31153A13" w:rsidR="00AF54AD" w:rsidRPr="00F41336" w:rsidRDefault="00AF54AD" w:rsidP="005620BD">
      <w:pPr>
        <w:rPr>
          <w:rFonts w:ascii="Helvetica" w:hAnsi="Helvetica"/>
          <w:sz w:val="20"/>
          <w:szCs w:val="20"/>
        </w:rPr>
      </w:pPr>
      <w:r w:rsidRPr="00AF54AD">
        <w:rPr>
          <w:rFonts w:ascii="Helvetica" w:hAnsi="Helvetica"/>
          <w:sz w:val="20"/>
          <w:szCs w:val="20"/>
        </w:rPr>
        <w:t xml:space="preserve">La gastroscopia consente di esaminare il primo tratto del tubo digerente (dalla bocca al duodeno) con una sonda che viene introdotta attraverso la bocca e che, grazie a una piccola telecamera applicata alla sua estremità, riproduce le immagini interne su uno schermo televisivo. L’esame consente di diagnosticare le malattie di esofago, stomaco e duodeno (ulcere, tumori, polipi, lesioni vascolari), di prelevare tessuto per l’esame istologico (biopsie), di procedere operativamente ove sia indicato (asportazione di polipi, arresto di emorragie, dilatazione di stenosi, posizionamento di </w:t>
      </w:r>
      <w:r w:rsidR="00F41336">
        <w:rPr>
          <w:rFonts w:ascii="Helvetica" w:hAnsi="Helvetica"/>
          <w:sz w:val="20"/>
          <w:szCs w:val="20"/>
        </w:rPr>
        <w:t xml:space="preserve">protesi, </w:t>
      </w:r>
      <w:r>
        <w:rPr>
          <w:rFonts w:ascii="Helvetica" w:hAnsi="Helvetica"/>
          <w:sz w:val="20"/>
          <w:szCs w:val="20"/>
        </w:rPr>
        <w:t>etc..)</w:t>
      </w:r>
    </w:p>
    <w:p w14:paraId="241C2E32" w14:textId="1F246C30" w:rsidR="00AF54AD" w:rsidRDefault="00AF54AD" w:rsidP="005620B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w:drawing>
          <wp:inline distT="0" distB="0" distL="0" distR="0" wp14:anchorId="020DE406" wp14:editId="070B8519">
            <wp:extent cx="1339403" cy="1320269"/>
            <wp:effectExtent l="0" t="0" r="0" b="635"/>
            <wp:docPr id="1408771542" name="Immagine 1" descr="Immagine che contiene clipart, disegno, illustrazione, cartone anim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771542" name="Immagine 1" descr="Immagine che contiene clipart, disegno, illustrazione, cartone animat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61" cy="133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2F38E" w14:textId="7A46D68E" w:rsidR="00C76158" w:rsidRDefault="00AF54AD" w:rsidP="005620B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Per la esecuzione della </w:t>
      </w:r>
      <w:r w:rsidRPr="00AF54AD">
        <w:rPr>
          <w:rFonts w:ascii="Helvetica" w:hAnsi="Helvetica"/>
          <w:sz w:val="20"/>
          <w:szCs w:val="20"/>
        </w:rPr>
        <w:t>esofagogastroduodenoscopia (EGDS)</w:t>
      </w:r>
      <w:r>
        <w:rPr>
          <w:rFonts w:ascii="Helvetica" w:hAnsi="Helvetica"/>
          <w:sz w:val="20"/>
          <w:szCs w:val="20"/>
        </w:rPr>
        <w:t xml:space="preserve"> </w:t>
      </w:r>
      <w:r w:rsidRPr="00F41336">
        <w:rPr>
          <w:rFonts w:ascii="Helvetica" w:hAnsi="Helvetica"/>
          <w:b/>
          <w:bCs/>
          <w:sz w:val="20"/>
          <w:szCs w:val="20"/>
        </w:rPr>
        <w:t>è necessario esser accompagnati</w:t>
      </w:r>
      <w:r>
        <w:rPr>
          <w:rFonts w:ascii="Helvetica" w:hAnsi="Helvetica"/>
          <w:sz w:val="20"/>
          <w:szCs w:val="20"/>
        </w:rPr>
        <w:t>, in quanto la procedura viene abitualmente eseguita in sedazione. La somministrazione di farmaci sedativi non permette che il paziente lasci il servizio di endoscopia senza accompagnatore e non permette al paziente di guidare per tutta la giornata dell’esame.</w:t>
      </w:r>
    </w:p>
    <w:p w14:paraId="108B99CC" w14:textId="7FAD2C04" w:rsidR="00AF54AD" w:rsidRDefault="00AF54AD" w:rsidP="005620BD">
      <w:pPr>
        <w:rPr>
          <w:rFonts w:ascii="Helvetica" w:hAnsi="Helvetica"/>
          <w:sz w:val="20"/>
          <w:szCs w:val="20"/>
        </w:rPr>
      </w:pPr>
      <w:r w:rsidRPr="00AF54AD">
        <w:rPr>
          <w:rFonts w:ascii="Helvetica" w:hAnsi="Helvetica"/>
          <w:sz w:val="20"/>
          <w:szCs w:val="20"/>
        </w:rPr>
        <w:t>L</w:t>
      </w:r>
      <w:r>
        <w:rPr>
          <w:rFonts w:ascii="Helvetica" w:hAnsi="Helvetica"/>
          <w:sz w:val="20"/>
          <w:szCs w:val="20"/>
        </w:rPr>
        <w:t>’esame gastroscopico,</w:t>
      </w:r>
      <w:r w:rsidRPr="00AF54AD">
        <w:rPr>
          <w:rFonts w:ascii="Helvetica" w:hAnsi="Helvetica"/>
          <w:sz w:val="20"/>
          <w:szCs w:val="20"/>
        </w:rPr>
        <w:t xml:space="preserve"> a differenza della colonscopia, non necessita di una preparazione specifica, ma esclusivamente di accorgimenti dietetici.</w:t>
      </w:r>
    </w:p>
    <w:p w14:paraId="4459D61E" w14:textId="3F392B55" w:rsidR="00AF54AD" w:rsidRDefault="00D23AA7" w:rsidP="005620B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INDICAZIONI PER </w:t>
      </w:r>
      <w:r w:rsidR="00C76158">
        <w:rPr>
          <w:rFonts w:ascii="Helvetica" w:hAnsi="Helvetica"/>
          <w:b/>
          <w:bCs/>
          <w:sz w:val="20"/>
          <w:szCs w:val="20"/>
        </w:rPr>
        <w:t xml:space="preserve">LA DIETA: </w:t>
      </w:r>
      <w:r w:rsidR="00AF54AD" w:rsidRPr="00AF54AD">
        <w:rPr>
          <w:rFonts w:ascii="Helvetica" w:hAnsi="Helvetica"/>
          <w:sz w:val="20"/>
          <w:szCs w:val="20"/>
        </w:rPr>
        <w:t>La sera precedente l’esame è possibile una cena leggera. Per esami eseguiti al mattino, il paziente deve essere a digiuno, e pertanto evitare la colazione. Per esami eseguiti al pomeriggio, è possibile l’assunzione a colazione con latte, tè o caffè, ma è bene evitare sostanze solide. L’assunzione di acqua è possibile fino a due ore prima dell’esame.</w:t>
      </w:r>
    </w:p>
    <w:p w14:paraId="6DB5CD76" w14:textId="77777777" w:rsidR="00AF54AD" w:rsidRDefault="00AF54AD" w:rsidP="005620BD">
      <w:pPr>
        <w:rPr>
          <w:rFonts w:ascii="Helvetica" w:hAnsi="Helvetica"/>
          <w:sz w:val="20"/>
          <w:szCs w:val="20"/>
        </w:rPr>
      </w:pPr>
    </w:p>
    <w:p w14:paraId="1C271117" w14:textId="08C7E5AF" w:rsidR="00AF54AD" w:rsidRDefault="00C76158" w:rsidP="005620BD">
      <w:pPr>
        <w:rPr>
          <w:rFonts w:ascii="Helvetica" w:hAnsi="Helvetica"/>
          <w:sz w:val="20"/>
          <w:szCs w:val="20"/>
        </w:rPr>
      </w:pPr>
      <w:r w:rsidRPr="00692055">
        <w:rPr>
          <w:rFonts w:ascii="Helvetica" w:hAnsi="Helvetica"/>
          <w:b/>
          <w:bCs/>
          <w:sz w:val="20"/>
          <w:szCs w:val="20"/>
        </w:rPr>
        <w:t>COME GESTIRE LE TERAPIE ABITUALI</w:t>
      </w:r>
      <w:r>
        <w:rPr>
          <w:rFonts w:ascii="Helvetica" w:hAnsi="Helvetica"/>
          <w:b/>
          <w:bCs/>
          <w:sz w:val="20"/>
          <w:szCs w:val="20"/>
        </w:rPr>
        <w:t>:</w:t>
      </w:r>
      <w:r w:rsidR="00AF54AD" w:rsidRPr="00AF54AD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I </w:t>
      </w:r>
      <w:r w:rsidR="00AF54AD" w:rsidRPr="00AF54AD">
        <w:rPr>
          <w:rFonts w:ascii="Helvetica" w:hAnsi="Helvetica"/>
          <w:sz w:val="20"/>
          <w:szCs w:val="20"/>
        </w:rPr>
        <w:t xml:space="preserve">farmaci possono essere regolarmente assunti agli orari usuali, fino a due ore prima dell’esame. </w:t>
      </w:r>
    </w:p>
    <w:p w14:paraId="5FF270D6" w14:textId="1CC712C0" w:rsidR="00AF54AD" w:rsidRDefault="00AF54AD" w:rsidP="005620BD">
      <w:pPr>
        <w:rPr>
          <w:rFonts w:ascii="Helvetica" w:hAnsi="Helvetica"/>
          <w:sz w:val="20"/>
          <w:szCs w:val="20"/>
        </w:rPr>
      </w:pPr>
      <w:r w:rsidRPr="00AF54AD">
        <w:rPr>
          <w:rFonts w:ascii="Helvetica" w:hAnsi="Helvetica"/>
          <w:sz w:val="20"/>
          <w:szCs w:val="20"/>
        </w:rPr>
        <w:t>I pazienti diabetici è opportuno controllino il giorno dell’esame i valori glicemici prima della somministrazione della insulina o degli antidiabetici orali, potendo la glicemia subire variazioni in relazione alle modificazioni dietetiche.</w:t>
      </w:r>
    </w:p>
    <w:p w14:paraId="59120F7A" w14:textId="29E310E2" w:rsidR="00B37C8B" w:rsidRPr="00AF54AD" w:rsidRDefault="00B37C8B" w:rsidP="005620B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w:drawing>
          <wp:inline distT="0" distB="0" distL="0" distR="0" wp14:anchorId="55679ED5" wp14:editId="03454094">
            <wp:extent cx="1281448" cy="714250"/>
            <wp:effectExtent l="0" t="0" r="1270" b="0"/>
            <wp:docPr id="1586985367" name="Immagine 4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34799" name="Immagine 4" descr="Immagine che contiene testo, Carattere, logo, schermata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32" cy="72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60446" w14:textId="3210E54C" w:rsidR="00AF54AD" w:rsidRPr="00AF54AD" w:rsidRDefault="00AF54AD" w:rsidP="005620BD">
      <w:pPr>
        <w:rPr>
          <w:rFonts w:ascii="Helvetica" w:hAnsi="Helvetica"/>
          <w:sz w:val="20"/>
          <w:szCs w:val="20"/>
        </w:rPr>
      </w:pPr>
      <w:r w:rsidRPr="00AF54AD">
        <w:rPr>
          <w:rFonts w:ascii="Helvetica" w:hAnsi="Helvetica"/>
          <w:sz w:val="20"/>
          <w:szCs w:val="20"/>
        </w:rPr>
        <w:t>I pazienti che assumono aspirina o altri farmaci antiaggreganti piastrinici (es. clo</w:t>
      </w:r>
      <w:r>
        <w:rPr>
          <w:rFonts w:ascii="Helvetica" w:hAnsi="Helvetica"/>
          <w:sz w:val="20"/>
          <w:szCs w:val="20"/>
        </w:rPr>
        <w:t>p</w:t>
      </w:r>
      <w:r w:rsidRPr="00AF54AD">
        <w:rPr>
          <w:rFonts w:ascii="Helvetica" w:hAnsi="Helvetica"/>
          <w:sz w:val="20"/>
          <w:szCs w:val="20"/>
        </w:rPr>
        <w:t>i</w:t>
      </w:r>
      <w:r>
        <w:rPr>
          <w:rFonts w:ascii="Helvetica" w:hAnsi="Helvetica"/>
          <w:sz w:val="20"/>
          <w:szCs w:val="20"/>
        </w:rPr>
        <w:t>d</w:t>
      </w:r>
      <w:r w:rsidRPr="00AF54AD">
        <w:rPr>
          <w:rFonts w:ascii="Helvetica" w:hAnsi="Helvetica"/>
          <w:sz w:val="20"/>
          <w:szCs w:val="20"/>
        </w:rPr>
        <w:t>ogrel</w:t>
      </w:r>
      <w:r>
        <w:rPr>
          <w:rFonts w:ascii="Helvetica" w:hAnsi="Helvetica"/>
          <w:sz w:val="20"/>
          <w:szCs w:val="20"/>
        </w:rPr>
        <w:t>-</w:t>
      </w:r>
      <w:proofErr w:type="spellStart"/>
      <w:r>
        <w:rPr>
          <w:rFonts w:ascii="Helvetica" w:hAnsi="Helvetica"/>
          <w:sz w:val="20"/>
          <w:szCs w:val="20"/>
        </w:rPr>
        <w:t>Plavix</w:t>
      </w:r>
      <w:proofErr w:type="spellEnd"/>
      <w:r w:rsidRPr="00AF54AD">
        <w:rPr>
          <w:rFonts w:ascii="Symbol" w:eastAsia="Symbol" w:hAnsi="Symbol" w:cs="Symbol"/>
          <w:sz w:val="20"/>
          <w:szCs w:val="20"/>
          <w:vertAlign w:val="superscript"/>
        </w:rPr>
        <w:t>Ò</w:t>
      </w:r>
      <w:r w:rsidRPr="00AF54AD">
        <w:rPr>
          <w:rFonts w:ascii="Helvetica" w:hAnsi="Helvetica"/>
          <w:sz w:val="20"/>
          <w:szCs w:val="20"/>
        </w:rPr>
        <w:t>, ticlopidina</w:t>
      </w:r>
      <w:r>
        <w:rPr>
          <w:rFonts w:ascii="Helvetica" w:hAnsi="Helvetica"/>
          <w:sz w:val="20"/>
          <w:szCs w:val="20"/>
        </w:rPr>
        <w:t>-Tiklid</w:t>
      </w:r>
      <w:r w:rsidRPr="00AF54AD">
        <w:rPr>
          <w:rFonts w:ascii="Symbol" w:eastAsia="Symbol" w:hAnsi="Symbol" w:cs="Symbol"/>
          <w:sz w:val="20"/>
          <w:szCs w:val="20"/>
          <w:vertAlign w:val="superscript"/>
        </w:rPr>
        <w:t>Ò</w:t>
      </w:r>
      <w:r w:rsidRPr="00AF54AD">
        <w:rPr>
          <w:rFonts w:ascii="Helvetica" w:hAnsi="Helvetica"/>
          <w:sz w:val="20"/>
          <w:szCs w:val="20"/>
        </w:rPr>
        <w:t>) non è necessario che sospendano preventivamente il farmaco per indagini diagnostiche routinarie.</w:t>
      </w:r>
    </w:p>
    <w:p w14:paraId="30F4B60D" w14:textId="36F8D86E" w:rsidR="00AF54AD" w:rsidRPr="00AF54AD" w:rsidRDefault="00AF54AD" w:rsidP="005620BD">
      <w:pPr>
        <w:rPr>
          <w:rFonts w:ascii="Helvetica" w:hAnsi="Helvetica"/>
          <w:sz w:val="20"/>
          <w:szCs w:val="20"/>
        </w:rPr>
      </w:pPr>
      <w:r w:rsidRPr="00AF54AD">
        <w:rPr>
          <w:rFonts w:ascii="Helvetica" w:hAnsi="Helvetica"/>
          <w:sz w:val="20"/>
          <w:szCs w:val="20"/>
        </w:rPr>
        <w:t>I pazienti che assumo farmaci anticoagulanti orali antagonisti della vitamina K (</w:t>
      </w:r>
      <w:proofErr w:type="spellStart"/>
      <w:r w:rsidRPr="00AF54AD">
        <w:rPr>
          <w:rFonts w:ascii="Helvetica" w:hAnsi="Helvetica"/>
          <w:sz w:val="20"/>
          <w:szCs w:val="20"/>
        </w:rPr>
        <w:t>Coumadin</w:t>
      </w:r>
      <w:proofErr w:type="spellEnd"/>
      <w:r w:rsidRPr="00AF54AD">
        <w:rPr>
          <w:rFonts w:ascii="Symbol" w:eastAsia="Symbol" w:hAnsi="Symbol" w:cs="Symbol"/>
          <w:sz w:val="20"/>
          <w:szCs w:val="20"/>
          <w:vertAlign w:val="superscript"/>
        </w:rPr>
        <w:t>Ò</w:t>
      </w:r>
      <w:r w:rsidRPr="00AF54AD">
        <w:rPr>
          <w:rFonts w:ascii="Helvetica" w:hAnsi="Helvetica"/>
          <w:sz w:val="20"/>
          <w:szCs w:val="20"/>
        </w:rPr>
        <w:t>, Sintrom</w:t>
      </w:r>
      <w:r w:rsidRPr="00AF54AD">
        <w:rPr>
          <w:rFonts w:ascii="Symbol" w:eastAsia="Symbol" w:hAnsi="Symbol" w:cs="Symbol"/>
          <w:sz w:val="20"/>
          <w:szCs w:val="20"/>
          <w:vertAlign w:val="superscript"/>
        </w:rPr>
        <w:t>Ò</w:t>
      </w:r>
      <w:r w:rsidRPr="00AF54AD">
        <w:rPr>
          <w:rFonts w:ascii="Helvetica" w:hAnsi="Helvetica"/>
          <w:sz w:val="20"/>
          <w:szCs w:val="20"/>
        </w:rPr>
        <w:t>) è necessario che abbiamo un controllo recente (entro 7 giorni) dell’INR, ma non è necessario che sospendano la terapia, salvo diverse indicazioni cliniche.</w:t>
      </w:r>
    </w:p>
    <w:p w14:paraId="65BED1C0" w14:textId="5C466171" w:rsidR="00AF54AD" w:rsidRPr="00B37C8B" w:rsidRDefault="00AF54AD" w:rsidP="005620BD">
      <w:pPr>
        <w:rPr>
          <w:rFonts w:ascii="Helvetica" w:hAnsi="Helvetica"/>
          <w:sz w:val="20"/>
          <w:szCs w:val="20"/>
        </w:rPr>
      </w:pPr>
      <w:r w:rsidRPr="00AF54AD">
        <w:rPr>
          <w:rFonts w:ascii="Helvetica" w:hAnsi="Helvetica"/>
          <w:sz w:val="20"/>
          <w:szCs w:val="20"/>
        </w:rPr>
        <w:t xml:space="preserve">I pazienti che assumo farmaci anticoagulanti orali diretti (es. </w:t>
      </w:r>
      <w:proofErr w:type="spellStart"/>
      <w:r w:rsidRPr="00AF54AD">
        <w:rPr>
          <w:rFonts w:ascii="Helvetica" w:hAnsi="Helvetica"/>
          <w:sz w:val="20"/>
          <w:szCs w:val="20"/>
        </w:rPr>
        <w:t>Pradaxa</w:t>
      </w:r>
      <w:proofErr w:type="spellEnd"/>
      <w:r w:rsidRPr="00AF54AD">
        <w:rPr>
          <w:rFonts w:ascii="Symbol" w:eastAsia="Symbol" w:hAnsi="Symbol" w:cs="Symbol"/>
          <w:sz w:val="20"/>
          <w:szCs w:val="20"/>
          <w:vertAlign w:val="superscript"/>
        </w:rPr>
        <w:t>Ò</w:t>
      </w:r>
      <w:r w:rsidRPr="00AF54AD">
        <w:rPr>
          <w:rFonts w:ascii="Helvetica" w:hAnsi="Helvetica"/>
          <w:sz w:val="20"/>
          <w:szCs w:val="20"/>
        </w:rPr>
        <w:t xml:space="preserve">, </w:t>
      </w:r>
      <w:proofErr w:type="spellStart"/>
      <w:r w:rsidRPr="00AF54AD">
        <w:rPr>
          <w:rFonts w:ascii="Helvetica" w:hAnsi="Helvetica"/>
          <w:sz w:val="20"/>
          <w:szCs w:val="20"/>
        </w:rPr>
        <w:t>Lixiana</w:t>
      </w:r>
      <w:proofErr w:type="spellEnd"/>
      <w:r w:rsidRPr="00AF54AD">
        <w:rPr>
          <w:rFonts w:ascii="Symbol" w:eastAsia="Symbol" w:hAnsi="Symbol" w:cs="Symbol"/>
          <w:sz w:val="20"/>
          <w:szCs w:val="20"/>
          <w:vertAlign w:val="superscript"/>
        </w:rPr>
        <w:t>Ò</w:t>
      </w:r>
      <w:r w:rsidRPr="00AF54AD">
        <w:rPr>
          <w:rFonts w:ascii="Helvetica" w:hAnsi="Helvetica"/>
          <w:sz w:val="20"/>
          <w:szCs w:val="20"/>
        </w:rPr>
        <w:t xml:space="preserve">, </w:t>
      </w:r>
      <w:proofErr w:type="spellStart"/>
      <w:r w:rsidRPr="00AF54AD">
        <w:rPr>
          <w:rFonts w:ascii="Helvetica" w:hAnsi="Helvetica"/>
          <w:sz w:val="20"/>
          <w:szCs w:val="20"/>
        </w:rPr>
        <w:t>Eliquis</w:t>
      </w:r>
      <w:proofErr w:type="spellEnd"/>
      <w:r w:rsidRPr="00AF54AD">
        <w:rPr>
          <w:rFonts w:ascii="Symbol" w:eastAsia="Symbol" w:hAnsi="Symbol" w:cs="Symbol"/>
          <w:sz w:val="20"/>
          <w:szCs w:val="20"/>
          <w:vertAlign w:val="superscript"/>
        </w:rPr>
        <w:t>Ò</w:t>
      </w:r>
      <w:r w:rsidRPr="00AF54AD">
        <w:rPr>
          <w:rFonts w:ascii="Helvetica" w:hAnsi="Helvetica"/>
          <w:sz w:val="20"/>
          <w:szCs w:val="20"/>
        </w:rPr>
        <w:t xml:space="preserve">, </w:t>
      </w:r>
      <w:proofErr w:type="spellStart"/>
      <w:r w:rsidRPr="00AF54AD">
        <w:rPr>
          <w:rFonts w:ascii="Helvetica" w:hAnsi="Helvetica"/>
          <w:sz w:val="20"/>
          <w:szCs w:val="20"/>
        </w:rPr>
        <w:t>Xarelto</w:t>
      </w:r>
      <w:proofErr w:type="spellEnd"/>
      <w:r w:rsidRPr="00AF54AD">
        <w:rPr>
          <w:rFonts w:ascii="Symbol" w:eastAsia="Symbol" w:hAnsi="Symbol" w:cs="Symbol"/>
          <w:sz w:val="20"/>
          <w:szCs w:val="20"/>
          <w:vertAlign w:val="superscript"/>
        </w:rPr>
        <w:t>Ò</w:t>
      </w:r>
      <w:r w:rsidRPr="00AF54AD">
        <w:rPr>
          <w:rFonts w:ascii="Helvetica" w:hAnsi="Helvetica"/>
          <w:sz w:val="20"/>
          <w:szCs w:val="20"/>
        </w:rPr>
        <w:t>) devono assumere l’ultima dose del farmaco il giorno precedente l’esame, omettendo l’assunzio</w:t>
      </w:r>
      <w:r>
        <w:rPr>
          <w:rFonts w:ascii="Helvetica" w:hAnsi="Helvetica"/>
          <w:sz w:val="20"/>
          <w:szCs w:val="20"/>
        </w:rPr>
        <w:t>ne</w:t>
      </w:r>
      <w:r w:rsidRPr="00AF54AD">
        <w:rPr>
          <w:rFonts w:ascii="Helvetica" w:hAnsi="Helvetica"/>
          <w:sz w:val="20"/>
          <w:szCs w:val="20"/>
        </w:rPr>
        <w:t xml:space="preserve"> del farmaco il giorno dell’esame stes</w:t>
      </w:r>
      <w:r w:rsidR="00B37C8B">
        <w:rPr>
          <w:rFonts w:ascii="Helvetica" w:hAnsi="Helvetica"/>
          <w:sz w:val="20"/>
          <w:szCs w:val="20"/>
        </w:rPr>
        <w:t>so</w:t>
      </w:r>
    </w:p>
    <w:p w14:paraId="5750EE65" w14:textId="77777777" w:rsidR="00AF54AD" w:rsidRPr="00AF54AD" w:rsidRDefault="00AF54AD" w:rsidP="005620BD">
      <w:pPr>
        <w:rPr>
          <w:rFonts w:ascii="Helvetica" w:hAnsi="Helvetica"/>
          <w:b/>
          <w:bCs/>
          <w:sz w:val="20"/>
          <w:szCs w:val="20"/>
        </w:rPr>
      </w:pPr>
    </w:p>
    <w:p w14:paraId="2E1B7543" w14:textId="77777777" w:rsidR="001838EB" w:rsidRPr="001838EB" w:rsidRDefault="001838EB">
      <w:pPr>
        <w:rPr>
          <w:rFonts w:ascii="Helvetica" w:hAnsi="Helvetica"/>
          <w:sz w:val="20"/>
          <w:szCs w:val="20"/>
        </w:rPr>
      </w:pPr>
    </w:p>
    <w:sectPr w:rsidR="001838EB" w:rsidRPr="001838EB">
      <w:footerReference w:type="even" r:id="rId12"/>
      <w:footerReference w:type="defaul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3C260" w14:textId="77777777" w:rsidR="00F34C6E" w:rsidRDefault="00F34C6E" w:rsidP="00F34C6E">
      <w:pPr>
        <w:spacing w:after="0" w:line="240" w:lineRule="auto"/>
      </w:pPr>
      <w:r>
        <w:separator/>
      </w:r>
    </w:p>
  </w:endnote>
  <w:endnote w:type="continuationSeparator" w:id="0">
    <w:p w14:paraId="745B0040" w14:textId="77777777" w:rsidR="00F34C6E" w:rsidRDefault="00F34C6E" w:rsidP="00F3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2A46" w14:textId="096958E4" w:rsidR="00F34C6E" w:rsidRDefault="00F34C6E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83D2B6" wp14:editId="01A2232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25575" cy="323850"/>
              <wp:effectExtent l="0" t="0" r="3175" b="0"/>
              <wp:wrapNone/>
              <wp:docPr id="985803942" name="Casella di testo 2" descr="Classificazione: Controll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55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85164" w14:textId="12C744AC" w:rsidR="00F34C6E" w:rsidRPr="00F34C6E" w:rsidRDefault="00F34C6E" w:rsidP="00F34C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34C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Classificazione: Controllato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3D2B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Controllato" style="position:absolute;margin-left:0;margin-top:0;width:112.25pt;height:25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1285164" w14:textId="12C744AC" w:rsidR="00F34C6E" w:rsidRPr="00F34C6E" w:rsidRDefault="00F34C6E" w:rsidP="00F34C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34C6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Classificazione: Controllato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F6AB0" w14:textId="6B07B0C4" w:rsidR="00F34C6E" w:rsidRDefault="00F34C6E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153FAC" wp14:editId="27D4CD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25575" cy="323850"/>
              <wp:effectExtent l="0" t="0" r="3175" b="0"/>
              <wp:wrapNone/>
              <wp:docPr id="308182858" name="Casella di testo 3" descr="Classificazione: Controll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55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5A7F1" w14:textId="2A089F52" w:rsidR="00F34C6E" w:rsidRPr="00F34C6E" w:rsidRDefault="00F34C6E" w:rsidP="00F34C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34C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Classificazione: Controllato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53FA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lassificazione: Controllato" style="position:absolute;margin-left:0;margin-top:0;width:112.25pt;height:25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2E05A7F1" w14:textId="2A089F52" w:rsidR="00F34C6E" w:rsidRPr="00F34C6E" w:rsidRDefault="00F34C6E" w:rsidP="00F34C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34C6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Classificazione: Controllato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749FE" w14:textId="4514A27B" w:rsidR="00F34C6E" w:rsidRDefault="00F34C6E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AA1017" wp14:editId="4C5151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25575" cy="323850"/>
              <wp:effectExtent l="0" t="0" r="3175" b="0"/>
              <wp:wrapNone/>
              <wp:docPr id="241488840" name="Casella di testo 1" descr="Classificazione: Controll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55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5866A" w14:textId="17525346" w:rsidR="00F34C6E" w:rsidRPr="00F34C6E" w:rsidRDefault="00F34C6E" w:rsidP="00F34C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34C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Classificazione: Controllato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A101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lassificazione: Controllato" style="position:absolute;margin-left:0;margin-top:0;width:112.25pt;height:25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2495866A" w14:textId="17525346" w:rsidR="00F34C6E" w:rsidRPr="00F34C6E" w:rsidRDefault="00F34C6E" w:rsidP="00F34C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34C6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Classificazione: Controllato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AA6E1" w14:textId="77777777" w:rsidR="00F34C6E" w:rsidRDefault="00F34C6E" w:rsidP="00F34C6E">
      <w:pPr>
        <w:spacing w:after="0" w:line="240" w:lineRule="auto"/>
      </w:pPr>
      <w:r>
        <w:separator/>
      </w:r>
    </w:p>
  </w:footnote>
  <w:footnote w:type="continuationSeparator" w:id="0">
    <w:p w14:paraId="431F6310" w14:textId="77777777" w:rsidR="00F34C6E" w:rsidRDefault="00F34C6E" w:rsidP="00F34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4C7B"/>
    <w:multiLevelType w:val="hybridMultilevel"/>
    <w:tmpl w:val="B19AF73E"/>
    <w:lvl w:ilvl="0" w:tplc="3D32F222">
      <w:start w:val="2"/>
      <w:numFmt w:val="bullet"/>
      <w:lvlText w:val="-"/>
      <w:lvlJc w:val="left"/>
      <w:pPr>
        <w:ind w:left="420" w:hanging="360"/>
      </w:pPr>
      <w:rPr>
        <w:rFonts w:ascii="Helvetica" w:eastAsiaTheme="minorHAnsi" w:hAnsi="Helvetic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B913E69"/>
    <w:multiLevelType w:val="hybridMultilevel"/>
    <w:tmpl w:val="E4622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719E"/>
    <w:multiLevelType w:val="hybridMultilevel"/>
    <w:tmpl w:val="D11A6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47975">
    <w:abstractNumId w:val="2"/>
  </w:num>
  <w:num w:numId="2" w16cid:durableId="1070156778">
    <w:abstractNumId w:val="1"/>
  </w:num>
  <w:num w:numId="3" w16cid:durableId="170197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BD"/>
    <w:rsid w:val="0006543A"/>
    <w:rsid w:val="001838EB"/>
    <w:rsid w:val="00371AD4"/>
    <w:rsid w:val="005620BD"/>
    <w:rsid w:val="006F0649"/>
    <w:rsid w:val="00AF54AD"/>
    <w:rsid w:val="00B37C8B"/>
    <w:rsid w:val="00C76158"/>
    <w:rsid w:val="00D23AA7"/>
    <w:rsid w:val="00DA5A73"/>
    <w:rsid w:val="00F34C6E"/>
    <w:rsid w:val="00F4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94DCD"/>
  <w15:chartTrackingRefBased/>
  <w15:docId w15:val="{7B4334D5-B507-FA44-9A5F-02BB3945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0BD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2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2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20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2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20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20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20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20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20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2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2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20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20B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20B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20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20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20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20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20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2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2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2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2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20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20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20B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2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20B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20BD"/>
    <w:rPr>
      <w:b/>
      <w:bCs/>
      <w:smallCaps/>
      <w:color w:val="2F5496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F34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C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7029FCAC8C24FA46226F08ABCAE6D" ma:contentTypeVersion="22" ma:contentTypeDescription="Create a new document." ma:contentTypeScope="" ma:versionID="5333e89db6958f2423732d921656ab2e">
  <xsd:schema xmlns:xsd="http://www.w3.org/2001/XMLSchema" xmlns:xs="http://www.w3.org/2001/XMLSchema" xmlns:p="http://schemas.microsoft.com/office/2006/metadata/properties" xmlns:ns1="http://schemas.microsoft.com/sharepoint/v3" xmlns:ns2="ec7da893-9680-4be2-99d1-db3a648ccefd" xmlns:ns3="68bc52bf-5b55-4945-9634-4541889a406d" targetNamespace="http://schemas.microsoft.com/office/2006/metadata/properties" ma:root="true" ma:fieldsID="a07f1b9807650d0ea67bc1485eec1159" ns1:_="" ns2:_="" ns3:_="">
    <xsd:import namespace="http://schemas.microsoft.com/sharepoint/v3"/>
    <xsd:import namespace="ec7da893-9680-4be2-99d1-db3a648ccefd"/>
    <xsd:import namespace="68bc52bf-5b55-4945-9634-4541889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_Flow_SignoffStatu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a893-9680-4be2-99d1-db3a648cc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cede8a-924a-40ef-b056-3055beb93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Note" ma:index="28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c52bf-5b55-4945-9634-4541889a4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80c14c-5433-4672-ae58-0f471a042038}" ma:internalName="TaxCatchAll" ma:showField="CatchAllData" ma:web="68bc52bf-5b55-4945-9634-4541889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 xmlns="ec7da893-9680-4be2-99d1-db3a648ccefd" xsi:nil="true"/>
    <_ip_UnifiedCompliancePolicyProperties xmlns="http://schemas.microsoft.com/sharepoint/v3" xsi:nil="true"/>
    <lcf76f155ced4ddcb4097134ff3c332f xmlns="ec7da893-9680-4be2-99d1-db3a648ccefd">
      <Terms xmlns="http://schemas.microsoft.com/office/infopath/2007/PartnerControls"/>
    </lcf76f155ced4ddcb4097134ff3c332f>
    <TaxCatchAll xmlns="68bc52bf-5b55-4945-9634-4541889a406d" xsi:nil="true"/>
    <_Flow_SignoffStatus xmlns="ec7da893-9680-4be2-99d1-db3a648cce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928EC-DA7F-4764-89F5-01ABF8F42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7da893-9680-4be2-99d1-db3a648ccefd"/>
    <ds:schemaRef ds:uri="68bc52bf-5b55-4945-9634-4541889a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75296-45EC-440E-B819-AA16E2B033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7da893-9680-4be2-99d1-db3a648ccefd"/>
    <ds:schemaRef ds:uri="68bc52bf-5b55-4945-9634-4541889a406d"/>
  </ds:schemaRefs>
</ds:datastoreItem>
</file>

<file path=customXml/itemProps3.xml><?xml version="1.0" encoding="utf-8"?>
<ds:datastoreItem xmlns:ds="http://schemas.openxmlformats.org/officeDocument/2006/customXml" ds:itemID="{28745F20-B1D5-47EA-A67C-60A8D049528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d61d251-95fb-4d38-9b7a-3813af1387d1}" enabled="1" method="Privileged" siteId="{796c2493-5d84-4e0c-9fa7-c94b2a09cda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radaelli</dc:creator>
  <cp:keywords/>
  <dc:description/>
  <cp:lastModifiedBy>Elena Cacciamani</cp:lastModifiedBy>
  <cp:revision>7</cp:revision>
  <dcterms:created xsi:type="dcterms:W3CDTF">2025-04-14T05:16:00Z</dcterms:created>
  <dcterms:modified xsi:type="dcterms:W3CDTF">2025-04-14T05:16:00Z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0x0101000937029FCAC8C24FA46226F08ABCAE6D</vt:lpwstr>
  </property>
  <property fmtid="{D5CDD505-2E9C-101B-9397-08002B2CF9AE}" pid="3" name="ClassificationContentMarkingFooterShapeIds">
    <vt:lpwstr>e64d3c8,3ac22ca6,125e7f4a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Classificazione: Controllato</vt:lpwstr>
  </property>
  <property fmtid="{D5CDD505-2E9C-101B-9397-08002B2CF9AE}" pid="6" name="MediaServiceImageTags">
    <vt:lpwstr/>
  </property>
</Properties>
</file>