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046E0" w14:textId="0FDC8029" w:rsidR="005620BD" w:rsidRPr="00AF54AD" w:rsidRDefault="005620BD" w:rsidP="005620BD">
      <w:pPr>
        <w:rPr>
          <w:rFonts w:ascii="Helvetica" w:hAnsi="Helvetica"/>
          <w:b/>
          <w:bCs/>
          <w:sz w:val="20"/>
          <w:szCs w:val="20"/>
        </w:rPr>
      </w:pPr>
      <w:r w:rsidRPr="00AF54AD">
        <w:rPr>
          <w:rFonts w:ascii="Helvetica" w:hAnsi="Helvetica"/>
          <w:b/>
          <w:bCs/>
          <w:sz w:val="20"/>
          <w:szCs w:val="20"/>
        </w:rPr>
        <w:t xml:space="preserve">Come prepararsi per la </w:t>
      </w:r>
      <w:r w:rsidR="00257DBD">
        <w:rPr>
          <w:rFonts w:ascii="Helvetica" w:hAnsi="Helvetica"/>
          <w:b/>
          <w:bCs/>
          <w:sz w:val="20"/>
          <w:szCs w:val="20"/>
        </w:rPr>
        <w:t>RETTOSCOPIA o RETTOSIGMOIDOSCOPIA</w:t>
      </w:r>
      <w:r w:rsidRPr="00AF54AD">
        <w:rPr>
          <w:rFonts w:ascii="Helvetica" w:hAnsi="Helvetica"/>
          <w:b/>
          <w:bCs/>
          <w:sz w:val="20"/>
          <w:szCs w:val="20"/>
        </w:rPr>
        <w:t>?</w:t>
      </w:r>
    </w:p>
    <w:p w14:paraId="440ACB25" w14:textId="25C03EE5" w:rsidR="00257DBD" w:rsidRDefault="00257DBD" w:rsidP="00257DBD">
      <w:pPr>
        <w:rPr>
          <w:rFonts w:ascii="Helvetica" w:hAnsi="Helvetica" w:cs="Arial"/>
          <w:color w:val="0C143A"/>
          <w:sz w:val="20"/>
          <w:szCs w:val="20"/>
        </w:rPr>
      </w:pPr>
      <w:r w:rsidRPr="001838EB">
        <w:rPr>
          <w:rFonts w:ascii="Helvetica" w:hAnsi="Helvetica"/>
          <w:sz w:val="20"/>
          <w:szCs w:val="20"/>
        </w:rPr>
        <w:t>La rettoscopia è una metodica endoscopica che permette di visualizzare il tratto distale del colon, ovvero il retto ed il canale anale, con una sonda che viene introdotta attraverso l’ano e che, grazie ad una piccola telecamera applicata alla sua estremità, riproduce le immagini interne su uno schermo televisivo. L’esame permette di diagnosticare le malattie che possono colpire questo distretto anatomico (emorroidi, fistole anorettali, lesioni infiammatorie o vascolari, tumori), di prelevare tessuto per l’esame istologico (biopsie) e di effettuare eventuali manovre operative</w:t>
      </w:r>
      <w:r w:rsidRPr="001838EB">
        <w:rPr>
          <w:rFonts w:ascii="Helvetica" w:hAnsi="Helvetica" w:cs="Arial"/>
          <w:color w:val="0C143A"/>
          <w:sz w:val="20"/>
          <w:szCs w:val="20"/>
        </w:rPr>
        <w:t>.</w:t>
      </w:r>
    </w:p>
    <w:p w14:paraId="05A0E9E2" w14:textId="7188C62F" w:rsidR="00257DBD" w:rsidRDefault="00257DBD" w:rsidP="00257DBD">
      <w:pPr>
        <w:rPr>
          <w:rFonts w:ascii="Helvetica" w:hAnsi="Helvetica" w:cs="Arial"/>
          <w:color w:val="0C143A"/>
          <w:sz w:val="20"/>
          <w:szCs w:val="20"/>
        </w:rPr>
      </w:pPr>
      <w:r>
        <w:rPr>
          <w:rFonts w:ascii="Helvetica" w:hAnsi="Helvetica"/>
          <w:noProof/>
          <w:sz w:val="20"/>
          <w:szCs w:val="20"/>
        </w:rPr>
        <w:drawing>
          <wp:inline distT="0" distB="0" distL="0" distR="0" wp14:anchorId="2727DC0E" wp14:editId="7D61D904">
            <wp:extent cx="1651980" cy="1165538"/>
            <wp:effectExtent l="0" t="0" r="0" b="3175"/>
            <wp:docPr id="2037262226" name="Immagine 2" descr="Immagine che contiene cartone animato, perso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262226" name="Immagine 2" descr="Immagine che contiene cartone animato, persona&#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3869" cy="1188037"/>
                    </a:xfrm>
                    <a:prstGeom prst="rect">
                      <a:avLst/>
                    </a:prstGeom>
                  </pic:spPr>
                </pic:pic>
              </a:graphicData>
            </a:graphic>
          </wp:inline>
        </w:drawing>
      </w:r>
    </w:p>
    <w:p w14:paraId="6A64D944" w14:textId="44119874" w:rsidR="00257DBD" w:rsidRDefault="00257DBD" w:rsidP="00257DBD">
      <w:pPr>
        <w:rPr>
          <w:rFonts w:ascii="Helvetica" w:hAnsi="Helvetica"/>
          <w:sz w:val="20"/>
          <w:szCs w:val="20"/>
        </w:rPr>
      </w:pPr>
      <w:r w:rsidRPr="001838EB">
        <w:rPr>
          <w:rFonts w:ascii="Helvetica" w:hAnsi="Helvetica" w:cs="Arial"/>
          <w:color w:val="0C143A"/>
          <w:sz w:val="20"/>
          <w:szCs w:val="20"/>
        </w:rPr>
        <w:t>È esame meno invasivo rispetto alla colonscopia e può essere eseguita senza sedazione.</w:t>
      </w:r>
      <w:r w:rsidRPr="001838EB">
        <w:rPr>
          <w:rFonts w:ascii="Helvetica" w:hAnsi="Helvetica"/>
          <w:sz w:val="20"/>
          <w:szCs w:val="20"/>
        </w:rPr>
        <w:t xml:space="preserve"> Per la esecuzione dell’esame </w:t>
      </w:r>
      <w:r w:rsidRPr="00257DBD">
        <w:rPr>
          <w:rFonts w:ascii="Helvetica" w:hAnsi="Helvetica"/>
          <w:sz w:val="20"/>
          <w:szCs w:val="20"/>
          <w:u w:val="single"/>
        </w:rPr>
        <w:t>è comunque preferibile esser accompagnati</w:t>
      </w:r>
      <w:r w:rsidRPr="001838EB">
        <w:rPr>
          <w:rFonts w:ascii="Helvetica" w:hAnsi="Helvetica"/>
          <w:sz w:val="20"/>
          <w:szCs w:val="20"/>
        </w:rPr>
        <w:t>, in quanto talvolta è necessaria la somministrazione di farmaci sedati</w:t>
      </w:r>
      <w:r>
        <w:rPr>
          <w:rFonts w:ascii="Helvetica" w:hAnsi="Helvetica"/>
          <w:sz w:val="20"/>
          <w:szCs w:val="20"/>
        </w:rPr>
        <w:t>vi.</w:t>
      </w:r>
    </w:p>
    <w:p w14:paraId="39F001DC" w14:textId="0E18202B" w:rsidR="00257DBD" w:rsidRPr="001838EB" w:rsidRDefault="00257DBD" w:rsidP="00257DBD">
      <w:pPr>
        <w:rPr>
          <w:rFonts w:ascii="Helvetica" w:hAnsi="Helvetica"/>
          <w:sz w:val="20"/>
          <w:szCs w:val="20"/>
        </w:rPr>
      </w:pPr>
      <w:r>
        <w:rPr>
          <w:rFonts w:ascii="Helvetica" w:hAnsi="Helvetica"/>
          <w:sz w:val="20"/>
          <w:szCs w:val="20"/>
        </w:rPr>
        <w:t xml:space="preserve">L’esecuzione dell’esame richiede la pulizia del retto e della parte terminale dell’intestino. </w:t>
      </w:r>
      <w:proofErr w:type="gramStart"/>
      <w:r>
        <w:rPr>
          <w:rFonts w:ascii="Helvetica" w:hAnsi="Helvetica"/>
          <w:sz w:val="20"/>
          <w:szCs w:val="20"/>
        </w:rPr>
        <w:t>E’</w:t>
      </w:r>
      <w:proofErr w:type="gramEnd"/>
      <w:r>
        <w:rPr>
          <w:rFonts w:ascii="Helvetica" w:hAnsi="Helvetica"/>
          <w:sz w:val="20"/>
          <w:szCs w:val="20"/>
        </w:rPr>
        <w:t xml:space="preserve"> pertanto importante che </w:t>
      </w:r>
      <w:r w:rsidRPr="001838EB">
        <w:rPr>
          <w:rFonts w:ascii="Helvetica" w:hAnsi="Helvetica"/>
          <w:sz w:val="20"/>
          <w:szCs w:val="20"/>
        </w:rPr>
        <w:t xml:space="preserve">segua le istruzioni </w:t>
      </w:r>
      <w:r>
        <w:rPr>
          <w:rFonts w:ascii="Helvetica" w:hAnsi="Helvetica"/>
          <w:sz w:val="20"/>
          <w:szCs w:val="20"/>
        </w:rPr>
        <w:t>specifiche</w:t>
      </w:r>
      <w:r>
        <w:rPr>
          <w:rFonts w:ascii="Helvetica" w:hAnsi="Helvetica"/>
          <w:sz w:val="20"/>
          <w:szCs w:val="20"/>
        </w:rPr>
        <w:t xml:space="preserve"> qui riportate:</w:t>
      </w:r>
    </w:p>
    <w:p w14:paraId="1BEFC911" w14:textId="77777777" w:rsidR="00257DBD" w:rsidRDefault="00257DBD" w:rsidP="00257DBD">
      <w:pPr>
        <w:rPr>
          <w:rFonts w:ascii="Helvetica" w:hAnsi="Helvetica"/>
          <w:sz w:val="20"/>
          <w:szCs w:val="20"/>
        </w:rPr>
      </w:pPr>
    </w:p>
    <w:p w14:paraId="3AB7DF2C" w14:textId="59014BE2" w:rsidR="00257DBD" w:rsidRDefault="00257DBD" w:rsidP="00257DBD">
      <w:pPr>
        <w:rPr>
          <w:rFonts w:ascii="Helvetica" w:hAnsi="Helvetica"/>
          <w:sz w:val="20"/>
          <w:szCs w:val="20"/>
        </w:rPr>
      </w:pPr>
      <w:r w:rsidRPr="00257DBD">
        <w:rPr>
          <w:rFonts w:ascii="Helvetica" w:hAnsi="Helvetica"/>
          <w:b/>
          <w:bCs/>
          <w:sz w:val="20"/>
          <w:szCs w:val="20"/>
        </w:rPr>
        <w:t>INDICAZIONI PER LA DIETA</w:t>
      </w:r>
      <w:r>
        <w:rPr>
          <w:rFonts w:ascii="Helvetica" w:hAnsi="Helvetica"/>
          <w:sz w:val="20"/>
          <w:szCs w:val="20"/>
        </w:rPr>
        <w:t>:</w:t>
      </w:r>
      <w:r w:rsidRPr="00257DBD">
        <w:rPr>
          <w:rFonts w:ascii="Helvetica" w:hAnsi="Helvetica"/>
          <w:sz w:val="20"/>
          <w:szCs w:val="20"/>
        </w:rPr>
        <w:t xml:space="preserve"> Non sono richieste prescrizioni particolari per la dieta nei giorni precedenti una rettoscopia</w:t>
      </w:r>
      <w:r>
        <w:rPr>
          <w:rFonts w:ascii="Helvetica" w:hAnsi="Helvetica"/>
          <w:sz w:val="20"/>
          <w:szCs w:val="20"/>
        </w:rPr>
        <w:t>.</w:t>
      </w:r>
      <w:r w:rsidRPr="00257DBD">
        <w:rPr>
          <w:rFonts w:ascii="Helvetica" w:hAnsi="Helvetica"/>
          <w:sz w:val="20"/>
          <w:szCs w:val="20"/>
        </w:rPr>
        <w:t xml:space="preserve"> </w:t>
      </w:r>
      <w:r>
        <w:rPr>
          <w:rFonts w:ascii="Helvetica" w:hAnsi="Helvetica"/>
          <w:sz w:val="20"/>
          <w:szCs w:val="20"/>
        </w:rPr>
        <w:t xml:space="preserve">Il giorno dell’esame, è possibile l’assunzione di liquidi (latte, tè, caffè, acqua) fino </w:t>
      </w:r>
      <w:proofErr w:type="gramStart"/>
      <w:r>
        <w:rPr>
          <w:rFonts w:ascii="Helvetica" w:hAnsi="Helvetica"/>
          <w:sz w:val="20"/>
          <w:szCs w:val="20"/>
        </w:rPr>
        <w:t xml:space="preserve">a </w:t>
      </w:r>
      <w:r w:rsidRPr="00257DBD">
        <w:rPr>
          <w:rFonts w:ascii="Helvetica" w:hAnsi="Helvetica"/>
          <w:sz w:val="20"/>
          <w:szCs w:val="20"/>
        </w:rPr>
        <w:t xml:space="preserve"> due</w:t>
      </w:r>
      <w:proofErr w:type="gramEnd"/>
      <w:r w:rsidRPr="00257DBD">
        <w:rPr>
          <w:rFonts w:ascii="Helvetica" w:hAnsi="Helvetica"/>
          <w:sz w:val="20"/>
          <w:szCs w:val="20"/>
        </w:rPr>
        <w:t xml:space="preserve"> ore prima dell’esame.</w:t>
      </w:r>
    </w:p>
    <w:p w14:paraId="63A6D990" w14:textId="21C8EFDD" w:rsidR="00257DBD" w:rsidRDefault="00257DBD" w:rsidP="00257DBD">
      <w:pPr>
        <w:rPr>
          <w:rFonts w:ascii="Helvetica" w:hAnsi="Helvetica"/>
          <w:sz w:val="20"/>
          <w:szCs w:val="20"/>
        </w:rPr>
      </w:pPr>
      <w:r w:rsidRPr="00257DBD">
        <w:rPr>
          <w:rFonts w:ascii="Helvetica" w:hAnsi="Helvetica"/>
          <w:b/>
          <w:bCs/>
          <w:sz w:val="20"/>
          <w:szCs w:val="20"/>
        </w:rPr>
        <w:t>COME ESEGUIRE LA PREPARAZIONE</w:t>
      </w:r>
      <w:r w:rsidRPr="00257DBD">
        <w:rPr>
          <w:rFonts w:ascii="Helvetica" w:hAnsi="Helvetica"/>
          <w:b/>
          <w:bCs/>
          <w:sz w:val="20"/>
          <w:szCs w:val="20"/>
        </w:rPr>
        <w:t xml:space="preserve">: </w:t>
      </w:r>
      <w:r w:rsidRPr="00257DBD">
        <w:rPr>
          <w:rFonts w:ascii="Helvetica" w:hAnsi="Helvetica"/>
          <w:sz w:val="20"/>
          <w:szCs w:val="20"/>
        </w:rPr>
        <w:t xml:space="preserve">Si consiglia l’acquisto in Farmacia di Clisma </w:t>
      </w:r>
      <w:proofErr w:type="gramStart"/>
      <w:r w:rsidRPr="00257DBD">
        <w:rPr>
          <w:rFonts w:ascii="Helvetica" w:hAnsi="Helvetica"/>
          <w:sz w:val="20"/>
          <w:szCs w:val="20"/>
        </w:rPr>
        <w:t>Fleet“ soluzione</w:t>
      </w:r>
      <w:proofErr w:type="gramEnd"/>
      <w:r w:rsidRPr="00257DBD">
        <w:rPr>
          <w:rFonts w:ascii="Helvetica" w:hAnsi="Helvetica"/>
          <w:sz w:val="20"/>
          <w:szCs w:val="20"/>
        </w:rPr>
        <w:t xml:space="preserve"> rettale 5gr/133ml 2 flaconi </w:t>
      </w:r>
    </w:p>
    <w:p w14:paraId="665A5E1F" w14:textId="77777777" w:rsidR="00257DBD" w:rsidRPr="00257DBD" w:rsidRDefault="00257DBD" w:rsidP="00257DBD">
      <w:pPr>
        <w:pStyle w:val="Paragrafoelenco"/>
        <w:numPr>
          <w:ilvl w:val="0"/>
          <w:numId w:val="3"/>
        </w:numPr>
        <w:rPr>
          <w:rFonts w:ascii="Helvetica" w:hAnsi="Helvetica"/>
          <w:sz w:val="20"/>
          <w:szCs w:val="20"/>
        </w:rPr>
      </w:pPr>
      <w:r w:rsidRPr="00257DBD">
        <w:rPr>
          <w:rFonts w:ascii="Helvetica" w:hAnsi="Helvetica"/>
          <w:sz w:val="20"/>
          <w:szCs w:val="20"/>
        </w:rPr>
        <w:t xml:space="preserve">La SERA prima dell’esame (ore 20 circa, dopo la </w:t>
      </w:r>
      <w:proofErr w:type="gramStart"/>
      <w:r w:rsidRPr="00257DBD">
        <w:rPr>
          <w:rFonts w:ascii="Helvetica" w:hAnsi="Helvetica"/>
          <w:sz w:val="20"/>
          <w:szCs w:val="20"/>
        </w:rPr>
        <w:t>cena )</w:t>
      </w:r>
      <w:proofErr w:type="gramEnd"/>
      <w:r w:rsidRPr="00257DBD">
        <w:rPr>
          <w:rFonts w:ascii="Helvetica" w:hAnsi="Helvetica"/>
          <w:sz w:val="20"/>
          <w:szCs w:val="20"/>
        </w:rPr>
        <w:t xml:space="preserve">: eseguire un clistere evacuativo somministrando un flacone di Clisma Fleet“ </w:t>
      </w:r>
    </w:p>
    <w:p w14:paraId="43D5979F" w14:textId="77777777" w:rsidR="00257DBD" w:rsidRPr="00257DBD" w:rsidRDefault="00257DBD" w:rsidP="00257DBD">
      <w:pPr>
        <w:pStyle w:val="Paragrafoelenco"/>
        <w:numPr>
          <w:ilvl w:val="0"/>
          <w:numId w:val="3"/>
        </w:numPr>
        <w:rPr>
          <w:rFonts w:ascii="Helvetica" w:hAnsi="Helvetica"/>
          <w:sz w:val="20"/>
          <w:szCs w:val="20"/>
        </w:rPr>
      </w:pPr>
      <w:r w:rsidRPr="00257DBD">
        <w:rPr>
          <w:rFonts w:ascii="Helvetica" w:hAnsi="Helvetica"/>
          <w:sz w:val="20"/>
          <w:szCs w:val="20"/>
        </w:rPr>
        <w:t xml:space="preserve">La MATTINA del giorno dell’esame (2-3 ore prima dell’ora programmata): eseguire un clistere </w:t>
      </w:r>
      <w:proofErr w:type="spellStart"/>
      <w:r w:rsidRPr="00257DBD">
        <w:rPr>
          <w:rFonts w:ascii="Helvetica" w:hAnsi="Helvetica"/>
          <w:sz w:val="20"/>
          <w:szCs w:val="20"/>
        </w:rPr>
        <w:t>clistere</w:t>
      </w:r>
      <w:proofErr w:type="spellEnd"/>
      <w:r w:rsidRPr="00257DBD">
        <w:rPr>
          <w:rFonts w:ascii="Helvetica" w:hAnsi="Helvetica"/>
          <w:sz w:val="20"/>
          <w:szCs w:val="20"/>
        </w:rPr>
        <w:t xml:space="preserve"> evacuativo somministrando un flacone di Clisma </w:t>
      </w:r>
      <w:proofErr w:type="gramStart"/>
      <w:r w:rsidRPr="00257DBD">
        <w:rPr>
          <w:rFonts w:ascii="Helvetica" w:hAnsi="Helvetica"/>
          <w:sz w:val="20"/>
          <w:szCs w:val="20"/>
        </w:rPr>
        <w:t>Fleet“</w:t>
      </w:r>
      <w:proofErr w:type="gramEnd"/>
      <w:r w:rsidRPr="00257DBD">
        <w:rPr>
          <w:rFonts w:ascii="Helvetica" w:hAnsi="Helvetica"/>
          <w:sz w:val="20"/>
          <w:szCs w:val="20"/>
        </w:rPr>
        <w:t xml:space="preserve"> </w:t>
      </w:r>
    </w:p>
    <w:p w14:paraId="207B1138" w14:textId="77777777" w:rsidR="00257DBD" w:rsidRDefault="00257DBD">
      <w:pPr>
        <w:rPr>
          <w:rFonts w:ascii="Helvetica" w:hAnsi="Helvetica"/>
          <w:sz w:val="20"/>
          <w:szCs w:val="20"/>
        </w:rPr>
      </w:pPr>
    </w:p>
    <w:p w14:paraId="2D254E2B" w14:textId="0C204726" w:rsidR="00257DBD" w:rsidRPr="00257DBD" w:rsidRDefault="00257DBD" w:rsidP="00257DBD">
      <w:pPr>
        <w:rPr>
          <w:rFonts w:ascii="Helvetica" w:hAnsi="Helvetica"/>
          <w:b/>
          <w:bCs/>
          <w:sz w:val="20"/>
          <w:szCs w:val="20"/>
        </w:rPr>
      </w:pPr>
      <w:r w:rsidRPr="00692055">
        <w:rPr>
          <w:rFonts w:ascii="Helvetica" w:hAnsi="Helvetica"/>
          <w:b/>
          <w:bCs/>
          <w:sz w:val="20"/>
          <w:szCs w:val="20"/>
        </w:rPr>
        <w:t>COME GESTIRE LE TERAPIE ABITUALI</w:t>
      </w:r>
      <w:r>
        <w:rPr>
          <w:rFonts w:ascii="Helvetica" w:hAnsi="Helvetica"/>
          <w:b/>
          <w:bCs/>
          <w:sz w:val="20"/>
          <w:szCs w:val="20"/>
        </w:rPr>
        <w:t xml:space="preserve">: </w:t>
      </w:r>
      <w:r w:rsidRPr="00AF54AD">
        <w:rPr>
          <w:rFonts w:ascii="Helvetica" w:hAnsi="Helvetica"/>
          <w:sz w:val="20"/>
          <w:szCs w:val="20"/>
        </w:rPr>
        <w:t xml:space="preserve">I farmaci possono essere regolarmente assunti agli orari usuali, fino a due ore prima dell’esame. </w:t>
      </w:r>
      <w:r>
        <w:rPr>
          <w:rFonts w:ascii="Helvetica" w:hAnsi="Helvetica"/>
          <w:b/>
          <w:bCs/>
          <w:sz w:val="20"/>
          <w:szCs w:val="20"/>
        </w:rPr>
        <w:t xml:space="preserve"> </w:t>
      </w:r>
      <w:r w:rsidRPr="00AF54AD">
        <w:rPr>
          <w:rFonts w:ascii="Helvetica" w:hAnsi="Helvetica"/>
          <w:sz w:val="20"/>
          <w:szCs w:val="20"/>
        </w:rPr>
        <w:t>I pazienti diabetici è opportuno controllino il giorno dell’esame i valori glicemici prima della somministrazione della insulina o degli antidiabetici orali, potendo la glicemia subire variazioni in relazione alle modificazioni dietetiche.</w:t>
      </w:r>
    </w:p>
    <w:p w14:paraId="7DCF75C7" w14:textId="4D5628A3" w:rsidR="00257DBD" w:rsidRDefault="00257DBD" w:rsidP="00257DBD">
      <w:pPr>
        <w:rPr>
          <w:rFonts w:ascii="Helvetica" w:hAnsi="Helvetica"/>
          <w:sz w:val="20"/>
          <w:szCs w:val="20"/>
        </w:rPr>
      </w:pPr>
      <w:r w:rsidRPr="00AF54AD">
        <w:rPr>
          <w:rFonts w:ascii="Helvetica" w:hAnsi="Helvetica"/>
          <w:sz w:val="20"/>
          <w:szCs w:val="20"/>
        </w:rPr>
        <w:t>I pazienti che assumono aspirina</w:t>
      </w:r>
      <w:r>
        <w:rPr>
          <w:rFonts w:ascii="Helvetica" w:hAnsi="Helvetica"/>
          <w:sz w:val="20"/>
          <w:szCs w:val="20"/>
        </w:rPr>
        <w:t xml:space="preserve"> possono proseguire il trattamento, senza una sua interruzione preventiva</w:t>
      </w:r>
    </w:p>
    <w:p w14:paraId="1AE641F7" w14:textId="77777777" w:rsidR="00257DBD" w:rsidRDefault="00257DBD" w:rsidP="00257DBD">
      <w:pPr>
        <w:rPr>
          <w:rFonts w:ascii="Helvetica" w:hAnsi="Helvetica"/>
          <w:sz w:val="20"/>
          <w:szCs w:val="20"/>
        </w:rPr>
      </w:pPr>
      <w:r>
        <w:rPr>
          <w:rFonts w:ascii="Helvetica" w:hAnsi="Helvetica"/>
          <w:noProof/>
          <w:sz w:val="20"/>
          <w:szCs w:val="20"/>
        </w:rPr>
        <w:drawing>
          <wp:inline distT="0" distB="0" distL="0" distR="0" wp14:anchorId="426514C9" wp14:editId="3ADB482C">
            <wp:extent cx="1281448" cy="714250"/>
            <wp:effectExtent l="0" t="0" r="1270" b="0"/>
            <wp:docPr id="1586985367" name="Immagine 4" descr="Immagine che contiene testo, Carattere, log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34799" name="Immagine 4" descr="Immagine che contiene testo, Carattere, logo, schermata&#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94632" cy="721598"/>
                    </a:xfrm>
                    <a:prstGeom prst="rect">
                      <a:avLst/>
                    </a:prstGeom>
                  </pic:spPr>
                </pic:pic>
              </a:graphicData>
            </a:graphic>
          </wp:inline>
        </w:drawing>
      </w:r>
    </w:p>
    <w:p w14:paraId="0E7D5F26" w14:textId="77777777" w:rsidR="00257DBD" w:rsidRDefault="00257DBD" w:rsidP="00257DBD">
      <w:pPr>
        <w:rPr>
          <w:rFonts w:ascii="Helvetica" w:hAnsi="Helvetica"/>
          <w:sz w:val="20"/>
          <w:szCs w:val="20"/>
        </w:rPr>
      </w:pPr>
      <w:r>
        <w:rPr>
          <w:rFonts w:ascii="Helvetica" w:hAnsi="Helvetica"/>
          <w:sz w:val="20"/>
          <w:szCs w:val="20"/>
        </w:rPr>
        <w:t xml:space="preserve">Consulti il Centro di Endoscopia, oppure il centro di terapia anticoagulante (centro TAO) o il proprio gastroenterologo, almeno </w:t>
      </w:r>
      <w:proofErr w:type="gramStart"/>
      <w:r>
        <w:rPr>
          <w:rFonts w:ascii="Helvetica" w:hAnsi="Helvetica"/>
          <w:sz w:val="20"/>
          <w:szCs w:val="20"/>
        </w:rPr>
        <w:t>10</w:t>
      </w:r>
      <w:proofErr w:type="gramEnd"/>
      <w:r>
        <w:rPr>
          <w:rFonts w:ascii="Helvetica" w:hAnsi="Helvetica"/>
          <w:sz w:val="20"/>
          <w:szCs w:val="20"/>
        </w:rPr>
        <w:t xml:space="preserve"> giorni prima dell’esame, in caso assuma i seguenti farmaci antiaggreganti o anticoagulanti:</w:t>
      </w:r>
    </w:p>
    <w:p w14:paraId="7AB7F40A" w14:textId="77777777" w:rsidR="00257DBD" w:rsidRPr="00692055" w:rsidRDefault="00257DBD" w:rsidP="00257DBD">
      <w:pPr>
        <w:pStyle w:val="Paragrafoelenco"/>
        <w:numPr>
          <w:ilvl w:val="0"/>
          <w:numId w:val="4"/>
        </w:numPr>
        <w:rPr>
          <w:rFonts w:ascii="Helvetica" w:hAnsi="Helvetica"/>
          <w:sz w:val="20"/>
          <w:szCs w:val="20"/>
          <w:lang w:val="en-US"/>
        </w:rPr>
      </w:pPr>
      <w:r w:rsidRPr="00692055">
        <w:rPr>
          <w:rFonts w:ascii="Helvetica" w:hAnsi="Helvetica"/>
          <w:sz w:val="20"/>
          <w:szCs w:val="20"/>
          <w:lang w:val="en-US"/>
        </w:rPr>
        <w:t xml:space="preserve">Clopidogrel, </w:t>
      </w:r>
      <w:proofErr w:type="spellStart"/>
      <w:r w:rsidRPr="00692055">
        <w:rPr>
          <w:rFonts w:ascii="Helvetica" w:hAnsi="Helvetica"/>
          <w:sz w:val="20"/>
          <w:szCs w:val="20"/>
          <w:lang w:val="en-US"/>
        </w:rPr>
        <w:t>Ticlopidina</w:t>
      </w:r>
      <w:proofErr w:type="spellEnd"/>
      <w:r w:rsidRPr="00692055">
        <w:rPr>
          <w:rFonts w:ascii="Helvetica" w:hAnsi="Helvetica"/>
          <w:sz w:val="20"/>
          <w:szCs w:val="20"/>
          <w:lang w:val="en-US"/>
        </w:rPr>
        <w:t>, Plavix</w:t>
      </w:r>
      <w:r w:rsidRPr="00AF54AD">
        <w:rPr>
          <w:rFonts w:ascii="Helvetica" w:hAnsi="Helvetica"/>
          <w:sz w:val="20"/>
          <w:szCs w:val="20"/>
          <w:vertAlign w:val="superscript"/>
        </w:rPr>
        <w:sym w:font="Symbol" w:char="F0D2"/>
      </w:r>
      <w:r w:rsidRPr="00692055">
        <w:rPr>
          <w:rFonts w:ascii="Helvetica" w:hAnsi="Helvetica"/>
          <w:sz w:val="20"/>
          <w:szCs w:val="20"/>
          <w:lang w:val="en-US"/>
        </w:rPr>
        <w:t xml:space="preserve">, </w:t>
      </w:r>
      <w:proofErr w:type="spellStart"/>
      <w:r w:rsidRPr="00692055">
        <w:rPr>
          <w:rFonts w:ascii="Helvetica" w:hAnsi="Helvetica"/>
          <w:sz w:val="20"/>
          <w:szCs w:val="20"/>
          <w:lang w:val="en-US"/>
        </w:rPr>
        <w:t>Tiklid</w:t>
      </w:r>
      <w:proofErr w:type="spellEnd"/>
      <w:r w:rsidRPr="00AF54AD">
        <w:rPr>
          <w:rFonts w:ascii="Helvetica" w:hAnsi="Helvetica"/>
          <w:sz w:val="20"/>
          <w:szCs w:val="20"/>
          <w:vertAlign w:val="superscript"/>
        </w:rPr>
        <w:sym w:font="Symbol" w:char="F0D2"/>
      </w:r>
      <w:r w:rsidRPr="00692055">
        <w:rPr>
          <w:rFonts w:ascii="Helvetica" w:hAnsi="Helvetica"/>
          <w:sz w:val="20"/>
          <w:szCs w:val="20"/>
          <w:lang w:val="en-US"/>
        </w:rPr>
        <w:t xml:space="preserve">, </w:t>
      </w:r>
      <w:proofErr w:type="spellStart"/>
      <w:r w:rsidRPr="00692055">
        <w:rPr>
          <w:rFonts w:ascii="Helvetica" w:hAnsi="Helvetica"/>
          <w:sz w:val="20"/>
          <w:szCs w:val="20"/>
          <w:lang w:val="en-US"/>
        </w:rPr>
        <w:t>B</w:t>
      </w:r>
      <w:r>
        <w:rPr>
          <w:rFonts w:ascii="Helvetica" w:hAnsi="Helvetica"/>
          <w:sz w:val="20"/>
          <w:szCs w:val="20"/>
          <w:lang w:val="en-US"/>
        </w:rPr>
        <w:t>rilique</w:t>
      </w:r>
      <w:proofErr w:type="spellEnd"/>
      <w:r w:rsidRPr="00AF54AD">
        <w:rPr>
          <w:rFonts w:ascii="Helvetica" w:hAnsi="Helvetica"/>
          <w:sz w:val="20"/>
          <w:szCs w:val="20"/>
          <w:vertAlign w:val="superscript"/>
        </w:rPr>
        <w:sym w:font="Symbol" w:char="F0D2"/>
      </w:r>
      <w:r>
        <w:rPr>
          <w:rFonts w:ascii="Helvetica" w:hAnsi="Helvetica"/>
          <w:sz w:val="20"/>
          <w:szCs w:val="20"/>
          <w:lang w:val="en-US"/>
        </w:rPr>
        <w:t xml:space="preserve">, </w:t>
      </w:r>
      <w:proofErr w:type="spellStart"/>
      <w:r>
        <w:rPr>
          <w:rFonts w:ascii="Helvetica" w:hAnsi="Helvetica"/>
          <w:sz w:val="20"/>
          <w:szCs w:val="20"/>
          <w:lang w:val="en-US"/>
        </w:rPr>
        <w:t>Efient</w:t>
      </w:r>
      <w:proofErr w:type="spellEnd"/>
      <w:r w:rsidRPr="00AF54AD">
        <w:rPr>
          <w:rFonts w:ascii="Helvetica" w:hAnsi="Helvetica"/>
          <w:sz w:val="20"/>
          <w:szCs w:val="20"/>
          <w:vertAlign w:val="superscript"/>
        </w:rPr>
        <w:sym w:font="Symbol" w:char="F0D2"/>
      </w:r>
    </w:p>
    <w:p w14:paraId="7E1A2F85" w14:textId="77777777" w:rsidR="00257DBD" w:rsidRPr="00692055" w:rsidRDefault="00257DBD" w:rsidP="00257DBD">
      <w:pPr>
        <w:pStyle w:val="Paragrafoelenco"/>
        <w:numPr>
          <w:ilvl w:val="0"/>
          <w:numId w:val="4"/>
        </w:numPr>
        <w:rPr>
          <w:rFonts w:ascii="Helvetica" w:hAnsi="Helvetica"/>
          <w:sz w:val="20"/>
          <w:szCs w:val="20"/>
          <w:lang w:val="en-US"/>
        </w:rPr>
      </w:pPr>
      <w:r w:rsidRPr="00692055">
        <w:rPr>
          <w:rFonts w:ascii="Helvetica" w:hAnsi="Helvetica"/>
          <w:sz w:val="20"/>
          <w:szCs w:val="20"/>
          <w:lang w:val="en-US"/>
        </w:rPr>
        <w:t>Coumadin</w:t>
      </w:r>
      <w:r w:rsidRPr="00AF54AD">
        <w:rPr>
          <w:rFonts w:ascii="Helvetica" w:hAnsi="Helvetica"/>
          <w:sz w:val="20"/>
          <w:szCs w:val="20"/>
          <w:vertAlign w:val="superscript"/>
        </w:rPr>
        <w:sym w:font="Symbol" w:char="F0D2"/>
      </w:r>
      <w:r w:rsidRPr="00692055">
        <w:rPr>
          <w:rFonts w:ascii="Helvetica" w:hAnsi="Helvetica"/>
          <w:sz w:val="20"/>
          <w:szCs w:val="20"/>
          <w:lang w:val="en-US"/>
        </w:rPr>
        <w:t xml:space="preserve">, </w:t>
      </w:r>
      <w:proofErr w:type="spellStart"/>
      <w:r w:rsidRPr="00692055">
        <w:rPr>
          <w:rFonts w:ascii="Helvetica" w:hAnsi="Helvetica"/>
          <w:sz w:val="20"/>
          <w:szCs w:val="20"/>
          <w:lang w:val="en-US"/>
        </w:rPr>
        <w:t>Sintrom</w:t>
      </w:r>
      <w:proofErr w:type="spellEnd"/>
      <w:r w:rsidRPr="00AF54AD">
        <w:rPr>
          <w:rFonts w:ascii="Helvetica" w:hAnsi="Helvetica"/>
          <w:sz w:val="20"/>
          <w:szCs w:val="20"/>
          <w:vertAlign w:val="superscript"/>
        </w:rPr>
        <w:sym w:font="Symbol" w:char="F0D2"/>
      </w:r>
    </w:p>
    <w:p w14:paraId="4D9E0650" w14:textId="77777777" w:rsidR="00257DBD" w:rsidRPr="00692055" w:rsidRDefault="00257DBD" w:rsidP="00257DBD">
      <w:pPr>
        <w:pStyle w:val="Paragrafoelenco"/>
        <w:numPr>
          <w:ilvl w:val="0"/>
          <w:numId w:val="4"/>
        </w:numPr>
        <w:rPr>
          <w:rFonts w:ascii="Helvetica" w:hAnsi="Helvetica"/>
          <w:sz w:val="20"/>
          <w:szCs w:val="20"/>
          <w:lang w:val="en-US"/>
        </w:rPr>
      </w:pPr>
      <w:proofErr w:type="spellStart"/>
      <w:r w:rsidRPr="00AF54AD">
        <w:rPr>
          <w:rFonts w:ascii="Helvetica" w:hAnsi="Helvetica"/>
          <w:sz w:val="20"/>
          <w:szCs w:val="20"/>
        </w:rPr>
        <w:t>Pradaxa</w:t>
      </w:r>
      <w:proofErr w:type="spellEnd"/>
      <w:r w:rsidRPr="00AF54AD">
        <w:rPr>
          <w:rFonts w:ascii="Helvetica" w:hAnsi="Helvetica"/>
          <w:sz w:val="20"/>
          <w:szCs w:val="20"/>
          <w:vertAlign w:val="superscript"/>
        </w:rPr>
        <w:sym w:font="Symbol" w:char="F0D2"/>
      </w:r>
      <w:r w:rsidRPr="00AF54AD">
        <w:rPr>
          <w:rFonts w:ascii="Helvetica" w:hAnsi="Helvetica"/>
          <w:sz w:val="20"/>
          <w:szCs w:val="20"/>
        </w:rPr>
        <w:t xml:space="preserve">, </w:t>
      </w:r>
      <w:proofErr w:type="spellStart"/>
      <w:r w:rsidRPr="00AF54AD">
        <w:rPr>
          <w:rFonts w:ascii="Helvetica" w:hAnsi="Helvetica"/>
          <w:sz w:val="20"/>
          <w:szCs w:val="20"/>
        </w:rPr>
        <w:t>Lixiana</w:t>
      </w:r>
      <w:proofErr w:type="spellEnd"/>
      <w:r w:rsidRPr="00AF54AD">
        <w:rPr>
          <w:rFonts w:ascii="Helvetica" w:hAnsi="Helvetica"/>
          <w:sz w:val="20"/>
          <w:szCs w:val="20"/>
          <w:vertAlign w:val="superscript"/>
        </w:rPr>
        <w:sym w:font="Symbol" w:char="F0D2"/>
      </w:r>
      <w:r w:rsidRPr="00AF54AD">
        <w:rPr>
          <w:rFonts w:ascii="Helvetica" w:hAnsi="Helvetica"/>
          <w:sz w:val="20"/>
          <w:szCs w:val="20"/>
        </w:rPr>
        <w:t xml:space="preserve">, </w:t>
      </w:r>
      <w:proofErr w:type="spellStart"/>
      <w:r w:rsidRPr="00AF54AD">
        <w:rPr>
          <w:rFonts w:ascii="Helvetica" w:hAnsi="Helvetica"/>
          <w:sz w:val="20"/>
          <w:szCs w:val="20"/>
        </w:rPr>
        <w:t>Eliquis</w:t>
      </w:r>
      <w:proofErr w:type="spellEnd"/>
      <w:r w:rsidRPr="00AF54AD">
        <w:rPr>
          <w:rFonts w:ascii="Helvetica" w:hAnsi="Helvetica"/>
          <w:sz w:val="20"/>
          <w:szCs w:val="20"/>
          <w:vertAlign w:val="superscript"/>
        </w:rPr>
        <w:sym w:font="Symbol" w:char="F0D2"/>
      </w:r>
      <w:r w:rsidRPr="00AF54AD">
        <w:rPr>
          <w:rFonts w:ascii="Helvetica" w:hAnsi="Helvetica"/>
          <w:sz w:val="20"/>
          <w:szCs w:val="20"/>
        </w:rPr>
        <w:t xml:space="preserve">, </w:t>
      </w:r>
      <w:proofErr w:type="spellStart"/>
      <w:r w:rsidRPr="00AF54AD">
        <w:rPr>
          <w:rFonts w:ascii="Helvetica" w:hAnsi="Helvetica"/>
          <w:sz w:val="20"/>
          <w:szCs w:val="20"/>
        </w:rPr>
        <w:t>Xarelto</w:t>
      </w:r>
      <w:proofErr w:type="spellEnd"/>
      <w:r w:rsidRPr="00AF54AD">
        <w:rPr>
          <w:rFonts w:ascii="Helvetica" w:hAnsi="Helvetica"/>
          <w:sz w:val="20"/>
          <w:szCs w:val="20"/>
          <w:vertAlign w:val="superscript"/>
        </w:rPr>
        <w:sym w:font="Symbol" w:char="F0D2"/>
      </w:r>
    </w:p>
    <w:p w14:paraId="232A0763" w14:textId="77777777" w:rsidR="00257DBD" w:rsidRDefault="00257DBD">
      <w:pPr>
        <w:rPr>
          <w:rFonts w:ascii="Helvetica" w:hAnsi="Helvetica"/>
          <w:sz w:val="20"/>
          <w:szCs w:val="20"/>
        </w:rPr>
      </w:pPr>
    </w:p>
    <w:p w14:paraId="3127D09D" w14:textId="77777777" w:rsidR="00AF54AD" w:rsidRDefault="00AF54AD">
      <w:pPr>
        <w:rPr>
          <w:rFonts w:ascii="Helvetica" w:hAnsi="Helvetica"/>
          <w:sz w:val="20"/>
          <w:szCs w:val="20"/>
        </w:rPr>
      </w:pPr>
    </w:p>
    <w:p w14:paraId="0A2716AC" w14:textId="256897EB" w:rsidR="00AF54AD" w:rsidRDefault="00AF54AD">
      <w:pPr>
        <w:rPr>
          <w:rFonts w:ascii="Helvetica" w:hAnsi="Helvetica"/>
          <w:sz w:val="20"/>
          <w:szCs w:val="20"/>
        </w:rPr>
      </w:pPr>
    </w:p>
    <w:p w14:paraId="00A3D416" w14:textId="77777777" w:rsidR="00AF54AD" w:rsidRDefault="00AF54AD">
      <w:pPr>
        <w:rPr>
          <w:rFonts w:ascii="Helvetica" w:hAnsi="Helvetica"/>
          <w:sz w:val="20"/>
          <w:szCs w:val="20"/>
        </w:rPr>
      </w:pPr>
    </w:p>
    <w:p w14:paraId="2E1B7543" w14:textId="77777777" w:rsidR="001838EB" w:rsidRPr="001838EB" w:rsidRDefault="001838EB">
      <w:pPr>
        <w:rPr>
          <w:rFonts w:ascii="Helvetica" w:hAnsi="Helvetica"/>
          <w:sz w:val="20"/>
          <w:szCs w:val="20"/>
        </w:rPr>
      </w:pPr>
    </w:p>
    <w:sectPr w:rsidR="001838EB" w:rsidRPr="001838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4C7B"/>
    <w:multiLevelType w:val="hybridMultilevel"/>
    <w:tmpl w:val="B19AF73E"/>
    <w:lvl w:ilvl="0" w:tplc="3D32F222">
      <w:start w:val="2"/>
      <w:numFmt w:val="bullet"/>
      <w:lvlText w:val="-"/>
      <w:lvlJc w:val="left"/>
      <w:pPr>
        <w:ind w:left="420" w:hanging="360"/>
      </w:pPr>
      <w:rPr>
        <w:rFonts w:ascii="Helvetica" w:eastAsiaTheme="minorHAnsi" w:hAnsi="Helvetica" w:cstheme="minorBidi"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15:restartNumberingAfterBreak="0">
    <w:nsid w:val="0F1706AD"/>
    <w:multiLevelType w:val="hybridMultilevel"/>
    <w:tmpl w:val="8E943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913E69"/>
    <w:multiLevelType w:val="hybridMultilevel"/>
    <w:tmpl w:val="E4622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98719E"/>
    <w:multiLevelType w:val="hybridMultilevel"/>
    <w:tmpl w:val="D11A65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5847975">
    <w:abstractNumId w:val="3"/>
  </w:num>
  <w:num w:numId="2" w16cid:durableId="1070156778">
    <w:abstractNumId w:val="2"/>
  </w:num>
  <w:num w:numId="3" w16cid:durableId="1224221027">
    <w:abstractNumId w:val="1"/>
  </w:num>
  <w:num w:numId="4" w16cid:durableId="1701978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0BD"/>
    <w:rsid w:val="0006543A"/>
    <w:rsid w:val="001838EB"/>
    <w:rsid w:val="00257DBD"/>
    <w:rsid w:val="005620BD"/>
    <w:rsid w:val="006F0649"/>
    <w:rsid w:val="00AF54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3794DCD"/>
  <w15:chartTrackingRefBased/>
  <w15:docId w15:val="{7B4334D5-B507-FA44-9A5F-02BB39453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20BD"/>
    <w:pPr>
      <w:spacing w:after="160" w:line="259" w:lineRule="auto"/>
    </w:pPr>
    <w:rPr>
      <w:sz w:val="22"/>
      <w:szCs w:val="22"/>
    </w:rPr>
  </w:style>
  <w:style w:type="paragraph" w:styleId="Titolo1">
    <w:name w:val="heading 1"/>
    <w:basedOn w:val="Normale"/>
    <w:next w:val="Normale"/>
    <w:link w:val="Titolo1Carattere"/>
    <w:uiPriority w:val="9"/>
    <w:qFormat/>
    <w:rsid w:val="005620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5620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5620BD"/>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5620BD"/>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5620BD"/>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5620B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620B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620B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620B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620BD"/>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5620BD"/>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5620BD"/>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5620BD"/>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5620BD"/>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5620B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620B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620B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620BD"/>
    <w:rPr>
      <w:rFonts w:eastAsiaTheme="majorEastAsia" w:cstheme="majorBidi"/>
      <w:color w:val="272727" w:themeColor="text1" w:themeTint="D8"/>
    </w:rPr>
  </w:style>
  <w:style w:type="paragraph" w:styleId="Titolo">
    <w:name w:val="Title"/>
    <w:basedOn w:val="Normale"/>
    <w:next w:val="Normale"/>
    <w:link w:val="TitoloCarattere"/>
    <w:uiPriority w:val="10"/>
    <w:qFormat/>
    <w:rsid w:val="005620B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620B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620B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620B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620B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620BD"/>
    <w:rPr>
      <w:i/>
      <w:iCs/>
      <w:color w:val="404040" w:themeColor="text1" w:themeTint="BF"/>
    </w:rPr>
  </w:style>
  <w:style w:type="paragraph" w:styleId="Paragrafoelenco">
    <w:name w:val="List Paragraph"/>
    <w:basedOn w:val="Normale"/>
    <w:uiPriority w:val="34"/>
    <w:qFormat/>
    <w:rsid w:val="005620BD"/>
    <w:pPr>
      <w:ind w:left="720"/>
      <w:contextualSpacing/>
    </w:pPr>
  </w:style>
  <w:style w:type="character" w:styleId="Enfasiintensa">
    <w:name w:val="Intense Emphasis"/>
    <w:basedOn w:val="Carpredefinitoparagrafo"/>
    <w:uiPriority w:val="21"/>
    <w:qFormat/>
    <w:rsid w:val="005620BD"/>
    <w:rPr>
      <w:i/>
      <w:iCs/>
      <w:color w:val="2F5496" w:themeColor="accent1" w:themeShade="BF"/>
    </w:rPr>
  </w:style>
  <w:style w:type="paragraph" w:styleId="Citazioneintensa">
    <w:name w:val="Intense Quote"/>
    <w:basedOn w:val="Normale"/>
    <w:next w:val="Normale"/>
    <w:link w:val="CitazioneintensaCarattere"/>
    <w:uiPriority w:val="30"/>
    <w:qFormat/>
    <w:rsid w:val="005620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5620BD"/>
    <w:rPr>
      <w:i/>
      <w:iCs/>
      <w:color w:val="2F5496" w:themeColor="accent1" w:themeShade="BF"/>
    </w:rPr>
  </w:style>
  <w:style w:type="character" w:styleId="Riferimentointenso">
    <w:name w:val="Intense Reference"/>
    <w:basedOn w:val="Carpredefinitoparagrafo"/>
    <w:uiPriority w:val="32"/>
    <w:qFormat/>
    <w:rsid w:val="005620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37029FCAC8C24FA46226F08ABCAE6D" ma:contentTypeVersion="22" ma:contentTypeDescription="Creare un nuovo documento." ma:contentTypeScope="" ma:versionID="d4e5dda5e7a670abe850f38402656e49">
  <xsd:schema xmlns:xsd="http://www.w3.org/2001/XMLSchema" xmlns:xs="http://www.w3.org/2001/XMLSchema" xmlns:p="http://schemas.microsoft.com/office/2006/metadata/properties" xmlns:ns1="http://schemas.microsoft.com/sharepoint/v3" xmlns:ns2="ec7da893-9680-4be2-99d1-db3a648ccefd" xmlns:ns3="68bc52bf-5b55-4945-9634-4541889a406d" targetNamespace="http://schemas.microsoft.com/office/2006/metadata/properties" ma:root="true" ma:fieldsID="2926b280559ccc9c14914033c5a612f8" ns1:_="" ns2:_="" ns3:_="">
    <xsd:import namespace="http://schemas.microsoft.com/sharepoint/v3"/>
    <xsd:import namespace="ec7da893-9680-4be2-99d1-db3a648ccefd"/>
    <xsd:import namespace="68bc52bf-5b55-4945-9634-4541889a406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SearchProperties" minOccurs="0"/>
                <xsd:element ref="ns1:_ip_UnifiedCompliancePolicyProperties" minOccurs="0"/>
                <xsd:element ref="ns1:_ip_UnifiedCompliancePolicyUIAction" minOccurs="0"/>
                <xsd:element ref="ns2:MediaServiceObjectDetectorVersions" minOccurs="0"/>
                <xsd:element ref="ns2:_Flow_SignoffStatus"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Proprietà criteri di conformità unificati" ma:hidden="true" ma:internalName="_ip_UnifiedCompliancePolicyProperties">
      <xsd:simpleType>
        <xsd:restriction base="dms:Note"/>
      </xsd:simpleType>
    </xsd:element>
    <xsd:element name="_ip_UnifiedCompliancePolicyUIAction" ma:index="25" nillable="true" ma:displayName="Azione interfaccia utente criteri di conformità unificat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7da893-9680-4be2-99d1-db3a648cc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89cede8a-924a-40ef-b056-3055beb9352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ign-off status" ma:internalName="Sign_x002d_off_x0020_status">
      <xsd:simpleType>
        <xsd:restriction base="dms:Text"/>
      </xsd:simpleType>
    </xsd:element>
    <xsd:element name="Note" ma:index="28" nillable="true" ma:displayName="Note" ma:format="Dropdown"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bc52bf-5b55-4945-9634-4541889a406d"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f280c14c-5433-4672-ae58-0f471a042038}" ma:internalName="TaxCatchAll" ma:showField="CatchAllData" ma:web="68bc52bf-5b55-4945-9634-4541889a40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Note xmlns="ec7da893-9680-4be2-99d1-db3a648ccefd" xsi:nil="true"/>
    <_ip_UnifiedCompliancePolicyProperties xmlns="http://schemas.microsoft.com/sharepoint/v3" xsi:nil="true"/>
    <lcf76f155ced4ddcb4097134ff3c332f xmlns="ec7da893-9680-4be2-99d1-db3a648ccefd">
      <Terms xmlns="http://schemas.microsoft.com/office/infopath/2007/PartnerControls"/>
    </lcf76f155ced4ddcb4097134ff3c332f>
    <TaxCatchAll xmlns="68bc52bf-5b55-4945-9634-4541889a406d" xsi:nil="true"/>
    <_Flow_SignoffStatus xmlns="ec7da893-9680-4be2-99d1-db3a648ccefd" xsi:nil="true"/>
  </documentManagement>
</p:properties>
</file>

<file path=customXml/itemProps1.xml><?xml version="1.0" encoding="utf-8"?>
<ds:datastoreItem xmlns:ds="http://schemas.openxmlformats.org/officeDocument/2006/customXml" ds:itemID="{AD5633FD-3BDA-4167-BBCD-6C2C4CF235D3}"/>
</file>

<file path=customXml/itemProps2.xml><?xml version="1.0" encoding="utf-8"?>
<ds:datastoreItem xmlns:ds="http://schemas.openxmlformats.org/officeDocument/2006/customXml" ds:itemID="{9755EFEB-C209-4EAB-B87C-AF4F7718208B}"/>
</file>

<file path=customXml/itemProps3.xml><?xml version="1.0" encoding="utf-8"?>
<ds:datastoreItem xmlns:ds="http://schemas.openxmlformats.org/officeDocument/2006/customXml" ds:itemID="{4B2E3AE9-1534-4F9D-88AF-FAEA4145E63B}"/>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2149</Characters>
  <Application>Microsoft Office Word</Application>
  <DocSecurity>0</DocSecurity>
  <Lines>17</Lines>
  <Paragraphs>5</Paragraphs>
  <ScaleCrop>false</ScaleCrop>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radaelli</dc:creator>
  <cp:keywords/>
  <dc:description/>
  <cp:lastModifiedBy>franco radaelli</cp:lastModifiedBy>
  <cp:revision>2</cp:revision>
  <dcterms:created xsi:type="dcterms:W3CDTF">2025-03-12T12:17:00Z</dcterms:created>
  <dcterms:modified xsi:type="dcterms:W3CDTF">2025-03-12T12:17:00Z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0x0101000937029FCAC8C24FA46226F08ABCAE6D</vt:lpwstr>
  </property>
</Properties>
</file>