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D268" w14:textId="77777777" w:rsidR="000775A8" w:rsidRPr="000722AE" w:rsidRDefault="000775A8" w:rsidP="000775A8">
      <w:pPr>
        <w:rPr>
          <w:b/>
          <w:bCs/>
        </w:rPr>
      </w:pPr>
      <w:r w:rsidRPr="000722AE">
        <w:rPr>
          <w:rStyle w:val="Enfasigrassetto"/>
          <w:rFonts w:ascii="Calibri" w:hAnsi="Calibri" w:cs="Calibri"/>
          <w:sz w:val="20"/>
          <w:szCs w:val="20"/>
          <w:u w:val="single"/>
        </w:rPr>
        <w:t>Miastenia Gravis</w:t>
      </w:r>
    </w:p>
    <w:p w14:paraId="7E72A490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La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Miastenia Gravis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è una malattia autoimmune rara caratterizzata dalla produzione di autoanticorpi che interferiscono con la trasmissione neuromuscolare, colpendo il recettore dell’acetilcolina (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AChR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) o, in alcuni casi, proteine come la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tirosin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>-chinasi muscolo-specifica (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MuSK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). Questa condizione determina un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deficit della funzione muscolare</w:t>
      </w:r>
      <w:r w:rsidRPr="00622495">
        <w:rPr>
          <w:rFonts w:ascii="Calibri" w:hAnsi="Calibri" w:cs="Calibri"/>
          <w:sz w:val="20"/>
          <w:szCs w:val="20"/>
          <w:lang w:val="it-IT"/>
        </w:rPr>
        <w:t>, con sintomi fluttuanti che peggiorano con l’affaticamento e migliorano con il riposo.</w:t>
      </w:r>
    </w:p>
    <w:p w14:paraId="0F201EC7" w14:textId="77777777" w:rsidR="000775A8" w:rsidRPr="000722AE" w:rsidRDefault="000775A8" w:rsidP="000775A8">
      <w:r w:rsidRPr="000722AE">
        <w:rPr>
          <w:rStyle w:val="Enfasigrassetto"/>
          <w:rFonts w:ascii="Calibri" w:hAnsi="Calibri" w:cs="Calibri"/>
          <w:sz w:val="20"/>
          <w:szCs w:val="20"/>
        </w:rPr>
        <w:t>Sintomi</w:t>
      </w:r>
    </w:p>
    <w:p w14:paraId="5E497283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La malattia può manifestarsi con un coinvolgimento variabile dei gruppi muscolari. L’interessamento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oculare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è frequente e provoca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ptosi palpebrale e diplopia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. Se sono coinvolti i muscoli bulbari, si possono osservare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disfagia, disartria e difficoltà nella masticazione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, mentre la debolezza dei muscoli degli arti e del tronco può portare 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affaticabilità generalizzata e difficoltà nei movimenti quotidiani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. Nei casi più gravi, l’interessamento della muscolatura respiratoria può condurre a una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crisi miastenica</w:t>
      </w:r>
      <w:r w:rsidRPr="00622495">
        <w:rPr>
          <w:rFonts w:ascii="Calibri" w:hAnsi="Calibri" w:cs="Calibri"/>
          <w:sz w:val="20"/>
          <w:szCs w:val="20"/>
          <w:lang w:val="it-IT"/>
        </w:rPr>
        <w:t>, una condizione potenzialmente pericolosa che richiede un trattamento intensivo.</w:t>
      </w:r>
    </w:p>
    <w:p w14:paraId="42BAEA99" w14:textId="77777777" w:rsidR="000775A8" w:rsidRPr="000722AE" w:rsidRDefault="000775A8" w:rsidP="000775A8">
      <w:r w:rsidRPr="000722AE">
        <w:rPr>
          <w:rStyle w:val="Enfasigrassetto"/>
          <w:rFonts w:ascii="Calibri" w:hAnsi="Calibri" w:cs="Calibri"/>
          <w:sz w:val="20"/>
          <w:szCs w:val="20"/>
        </w:rPr>
        <w:t>Diagnosi</w:t>
      </w:r>
    </w:p>
    <w:p w14:paraId="17C6D5B6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>La diagnosi di Miastenia Gravis si basa su un’accurata valutazione clinica e su indagini strumentali specifiche. L’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elettromiografia a stimolazione ripetitiva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è utile per evidenziare il deficit della trasmissione neuromuscolare, mentre il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dosaggio degli autoanticorpi anti-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AChR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, anti-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MuSK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 e anti-LRP4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permette di confermare la natura autoimmune della malattia. La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TC del mediastino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è indicata per la ricerca di un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timoma</w:t>
      </w:r>
      <w:r w:rsidRPr="00622495">
        <w:rPr>
          <w:rFonts w:ascii="Calibri" w:hAnsi="Calibri" w:cs="Calibri"/>
          <w:sz w:val="20"/>
          <w:szCs w:val="20"/>
          <w:lang w:val="it-IT"/>
        </w:rPr>
        <w:t>, una neoplasia frequentemente associata alla Miastenia Gravis.</w:t>
      </w:r>
    </w:p>
    <w:p w14:paraId="420170B2" w14:textId="77777777" w:rsidR="000775A8" w:rsidRPr="000722AE" w:rsidRDefault="000775A8" w:rsidP="000775A8">
      <w:r w:rsidRPr="000722AE">
        <w:rPr>
          <w:rStyle w:val="Enfasigrassetto"/>
          <w:rFonts w:ascii="Calibri" w:hAnsi="Calibri" w:cs="Calibri"/>
          <w:sz w:val="20"/>
          <w:szCs w:val="20"/>
        </w:rPr>
        <w:t>Trattamento</w:t>
      </w:r>
    </w:p>
    <w:p w14:paraId="4C4D44BD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Il trattamento della Miastenia Gravis prevede diverse strategie terapeutiche, personalizzate in base alla gravità della malattia e alla risposta del paziente. Gli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inibitori dell’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acetilcolinesterasi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(come la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piridostigmina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) migliorano la trasmissione neuromuscolare e sono utilizzati per il controllo sintomatico. Per modulare la risposta autoimmune vengono impiegati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corticosteroidi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farmaci immunosoppressori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(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azatioprina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,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micofenolato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mofetile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), mentre nei pazienti con forme refrattarie si possono utilizzare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terapie a base di anticorpi monoclonali</w:t>
      </w:r>
      <w:r w:rsidRPr="00622495">
        <w:rPr>
          <w:rFonts w:ascii="Calibri" w:hAnsi="Calibri" w:cs="Calibri"/>
          <w:sz w:val="20"/>
          <w:szCs w:val="20"/>
          <w:lang w:val="it-IT"/>
        </w:rPr>
        <w:t>, come il rituximab.</w:t>
      </w:r>
    </w:p>
    <w:p w14:paraId="4B52EBF6" w14:textId="77777777" w:rsidR="000775A8" w:rsidRPr="00622495" w:rsidRDefault="000775A8" w:rsidP="000775A8">
      <w:pPr>
        <w:pStyle w:val="NormaleWeb"/>
        <w:tabs>
          <w:tab w:val="left" w:pos="1418"/>
        </w:tabs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Presso il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Centro </w:t>
      </w:r>
      <w:r>
        <w:rPr>
          <w:rStyle w:val="Enfasigrassetto"/>
          <w:rFonts w:ascii="Calibri" w:hAnsi="Calibri" w:cs="Calibri"/>
          <w:sz w:val="20"/>
          <w:szCs w:val="20"/>
          <w:lang w:val="it-IT"/>
        </w:rPr>
        <w:t>m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alattie </w:t>
      </w:r>
      <w:r>
        <w:rPr>
          <w:rStyle w:val="Enfasigrassetto"/>
          <w:rFonts w:ascii="Calibri" w:hAnsi="Calibri" w:cs="Calibri"/>
          <w:sz w:val="20"/>
          <w:szCs w:val="20"/>
          <w:lang w:val="it-IT"/>
        </w:rPr>
        <w:t>r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are dell’Ospedale Valduce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, vengono utilizzati gli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inibitori del complemento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, terapie di ultima generazione per il trattamento delle forme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generalizzate e refrattarie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. Farmaci come 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Eculizumab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e 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Ravulizumab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bloccano l’attivazione della cascata del complemento, prevenendo il danno autoimmune alla giunzione neuromuscolare e migliorando significativamente la forza muscolare e la qualità di vita nei pazienti non adeguatamente controllati dalle terapie convenzionali.</w:t>
      </w:r>
    </w:p>
    <w:p w14:paraId="74829F64" w14:textId="7ABC0E12" w:rsidR="00E13A22" w:rsidRPr="00427B79" w:rsidRDefault="000775A8" w:rsidP="00427B79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Nei pazienti con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timoma o miastenia generalizzata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selezionata, la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timectomia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può essere considerata un’opzione terapeutica con potenziali benefici a lungo termine, in sinergia con il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chirurgoi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toracico</w:t>
      </w:r>
      <w:r>
        <w:rPr>
          <w:rFonts w:ascii="Calibri" w:hAnsi="Calibri" w:cs="Calibri"/>
          <w:sz w:val="20"/>
          <w:szCs w:val="20"/>
          <w:lang w:val="it-IT"/>
        </w:rPr>
        <w:t>.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Per i pazienti con crisi miastenica o peggioramento acuto della malattia, la somministrazione di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immunoglobuline endovena (IVIG) o plasmaferesi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è indicata per ottenere un rapido controllo della sintomatologia</w:t>
      </w:r>
      <w:r w:rsidR="00427B79">
        <w:rPr>
          <w:rFonts w:ascii="Calibri" w:hAnsi="Calibri" w:cs="Calibri"/>
          <w:sz w:val="20"/>
          <w:szCs w:val="20"/>
          <w:lang w:val="it-IT"/>
        </w:rPr>
        <w:t>.</w:t>
      </w:r>
    </w:p>
    <w:sectPr w:rsidR="00E13A22" w:rsidRPr="00427B79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732B5" w14:textId="77777777" w:rsidR="000D1C34" w:rsidRDefault="000D1C34" w:rsidP="000775A8">
      <w:pPr>
        <w:spacing w:after="0" w:line="240" w:lineRule="auto"/>
      </w:pPr>
      <w:r>
        <w:separator/>
      </w:r>
    </w:p>
  </w:endnote>
  <w:endnote w:type="continuationSeparator" w:id="0">
    <w:p w14:paraId="7669A507" w14:textId="77777777" w:rsidR="000D1C34" w:rsidRDefault="000D1C34" w:rsidP="000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F9C5" w14:textId="2BD5B0EC" w:rsidR="000775A8" w:rsidRDefault="000775A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F11597" wp14:editId="11B859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84866812" name="Text Box 2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BA8CE" w14:textId="2837DA27" w:rsidR="000775A8" w:rsidRPr="000775A8" w:rsidRDefault="000775A8" w:rsidP="000775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11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zione: Controllat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76BA8CE" w14:textId="2837DA27" w:rsidR="000775A8" w:rsidRPr="000775A8" w:rsidRDefault="000775A8" w:rsidP="000775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75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F431" w14:textId="07AE032E" w:rsidR="000775A8" w:rsidRDefault="000775A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BC9DCE" wp14:editId="73490C19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38494424" name="Text Box 3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7880" w14:textId="2A187748" w:rsidR="000775A8" w:rsidRPr="000775A8" w:rsidRDefault="000775A8" w:rsidP="000775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C9D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zione: Controllat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7217880" w14:textId="2A187748" w:rsidR="000775A8" w:rsidRPr="000775A8" w:rsidRDefault="000775A8" w:rsidP="000775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75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3967" w14:textId="4C548E5F" w:rsidR="000775A8" w:rsidRDefault="000775A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E6A5C1" wp14:editId="17EF21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2089179" name="Text Box 1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75784" w14:textId="0EF531B5" w:rsidR="000775A8" w:rsidRPr="000775A8" w:rsidRDefault="000775A8" w:rsidP="000775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6A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zione: Controllat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F475784" w14:textId="0EF531B5" w:rsidR="000775A8" w:rsidRPr="000775A8" w:rsidRDefault="000775A8" w:rsidP="000775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75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A2AF" w14:textId="77777777" w:rsidR="000D1C34" w:rsidRDefault="000D1C34" w:rsidP="000775A8">
      <w:pPr>
        <w:spacing w:after="0" w:line="240" w:lineRule="auto"/>
      </w:pPr>
      <w:r>
        <w:separator/>
      </w:r>
    </w:p>
  </w:footnote>
  <w:footnote w:type="continuationSeparator" w:id="0">
    <w:p w14:paraId="02F234D0" w14:textId="77777777" w:rsidR="000D1C34" w:rsidRDefault="000D1C34" w:rsidP="0007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A8"/>
    <w:rsid w:val="000775A8"/>
    <w:rsid w:val="000D1C34"/>
    <w:rsid w:val="00427B79"/>
    <w:rsid w:val="008A3A30"/>
    <w:rsid w:val="00E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5AF"/>
  <w15:chartTrackingRefBased/>
  <w15:docId w15:val="{A00D2244-731B-4258-96BB-8C467C0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5A8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775A8"/>
    <w:rPr>
      <w:b/>
      <w:bCs/>
    </w:rPr>
  </w:style>
  <w:style w:type="paragraph" w:styleId="NormaleWeb">
    <w:name w:val="Normal (Web)"/>
    <w:basedOn w:val="Normale"/>
    <w:uiPriority w:val="99"/>
    <w:unhideWhenUsed/>
    <w:rsid w:val="0007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7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5A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ec7da893-9680-4be2-99d1-db3a648ccefd" xsi:nil="true"/>
    <_ip_UnifiedCompliancePolicyProperties xmlns="http://schemas.microsoft.com/sharepoint/v3" xsi:nil="true"/>
    <lcf76f155ced4ddcb4097134ff3c332f xmlns="ec7da893-9680-4be2-99d1-db3a648ccefd">
      <Terms xmlns="http://schemas.microsoft.com/office/infopath/2007/PartnerControls"/>
    </lcf76f155ced4ddcb4097134ff3c332f>
    <TaxCatchAll xmlns="68bc52bf-5b55-4945-9634-4541889a406d" xsi:nil="true"/>
    <_Flow_SignoffStatus xmlns="ec7da893-9680-4be2-99d1-db3a648cc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7029FCAC8C24FA46226F08ABCAE6D" ma:contentTypeVersion="22" ma:contentTypeDescription="Creare un nuovo documento." ma:contentTypeScope="" ma:versionID="d4e5dda5e7a670abe850f38402656e49">
  <xsd:schema xmlns:xsd="http://www.w3.org/2001/XMLSchema" xmlns:xs="http://www.w3.org/2001/XMLSchema" xmlns:p="http://schemas.microsoft.com/office/2006/metadata/properties" xmlns:ns1="http://schemas.microsoft.com/sharepoint/v3" xmlns:ns2="ec7da893-9680-4be2-99d1-db3a648ccefd" xmlns:ns3="68bc52bf-5b55-4945-9634-4541889a406d" targetNamespace="http://schemas.microsoft.com/office/2006/metadata/properties" ma:root="true" ma:fieldsID="2926b280559ccc9c14914033c5a612f8" ns1:_="" ns2:_="" ns3:_="">
    <xsd:import namespace="http://schemas.microsoft.com/sharepoint/v3"/>
    <xsd:import namespace="ec7da893-9680-4be2-99d1-db3a648ccefd"/>
    <xsd:import namespace="68bc52bf-5b55-4945-9634-4541889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a893-9680-4be2-99d1-db3a648c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9cede8a-924a-40ef-b056-3055beb9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52bf-5b55-4945-9634-4541889a4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80c14c-5433-4672-ae58-0f471a042038}" ma:internalName="TaxCatchAll" ma:showField="CatchAllData" ma:web="68bc52bf-5b55-4945-9634-4541889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47F7C-A4F6-432C-B501-7A9EF4EFC7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7da893-9680-4be2-99d1-db3a648ccefd"/>
    <ds:schemaRef ds:uri="68bc52bf-5b55-4945-9634-4541889a406d"/>
  </ds:schemaRefs>
</ds:datastoreItem>
</file>

<file path=customXml/itemProps2.xml><?xml version="1.0" encoding="utf-8"?>
<ds:datastoreItem xmlns:ds="http://schemas.openxmlformats.org/officeDocument/2006/customXml" ds:itemID="{B5A71D6F-DE18-4A00-B160-C23A59927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10E4B-1EE5-42B5-A7A4-57006EADA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da893-9680-4be2-99d1-db3a648ccefd"/>
    <ds:schemaRef ds:uri="68bc52bf-5b55-4945-9634-4541889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Scansani</dc:creator>
  <cp:keywords/>
  <dc:description/>
  <cp:lastModifiedBy>Elisa Pezzini</cp:lastModifiedBy>
  <cp:revision>2</cp:revision>
  <dcterms:created xsi:type="dcterms:W3CDTF">2025-04-14T21:27:00Z</dcterms:created>
  <dcterms:modified xsi:type="dcterms:W3CDTF">2025-06-20T08:37:00Z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9a948db,5e7725fc,142d03d8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Classificazione: Controllato</vt:lpwstr>
  </property>
  <property fmtid="{D5CDD505-2E9C-101B-9397-08002B2CF9AE}" pid="5" name="ContentTypeId">
    <vt:lpwstr>0x0101000937029FCAC8C24FA46226F08ABCAE6D</vt:lpwstr>
  </property>
</Properties>
</file>